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2045" w14:textId="1F869641" w:rsidR="00490CF0" w:rsidRDefault="00490CF0" w:rsidP="00DA5D12">
      <w:pPr>
        <w:pStyle w:val="Heading1"/>
      </w:pPr>
      <w:r w:rsidRPr="00490CF0">
        <w:drawing>
          <wp:anchor distT="0" distB="0" distL="114300" distR="114300" simplePos="0" relativeHeight="251660288" behindDoc="0" locked="0" layoutInCell="1" allowOverlap="1" wp14:anchorId="2316A65D" wp14:editId="52B2BEBA">
            <wp:simplePos x="0" y="0"/>
            <wp:positionH relativeFrom="column">
              <wp:posOffset>4033520</wp:posOffset>
            </wp:positionH>
            <wp:positionV relativeFrom="paragraph">
              <wp:posOffset>-178547</wp:posOffset>
            </wp:positionV>
            <wp:extent cx="2286000" cy="951230"/>
            <wp:effectExtent l="0" t="0" r="0" b="1270"/>
            <wp:wrapNone/>
            <wp:docPr id="7" name="Picture 3" descr="Logo&#10;&#10;Description automatically generated with medium confidence">
              <a:extLst xmlns:a="http://schemas.openxmlformats.org/drawingml/2006/main">
                <a:ext uri="{FF2B5EF4-FFF2-40B4-BE49-F238E27FC236}">
                  <a16:creationId xmlns:a16="http://schemas.microsoft.com/office/drawing/2014/main" id="{08C46A16-6393-484F-8C26-FD5024661F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with medium confidence">
                      <a:extLst>
                        <a:ext uri="{FF2B5EF4-FFF2-40B4-BE49-F238E27FC236}">
                          <a16:creationId xmlns:a16="http://schemas.microsoft.com/office/drawing/2014/main" id="{08C46A16-6393-484F-8C26-FD5024661F9C}"/>
                        </a:ext>
                      </a:extLst>
                    </pic:cNvPr>
                    <pic:cNvPicPr>
                      <a:picLocks noChangeAspect="1"/>
                    </pic:cNvPicPr>
                  </pic:nvPicPr>
                  <pic:blipFill>
                    <a:blip r:embed="rId7"/>
                    <a:stretch>
                      <a:fillRect/>
                    </a:stretch>
                  </pic:blipFill>
                  <pic:spPr>
                    <a:xfrm>
                      <a:off x="0" y="0"/>
                      <a:ext cx="2286000" cy="951230"/>
                    </a:xfrm>
                    <a:prstGeom prst="rect">
                      <a:avLst/>
                    </a:prstGeom>
                  </pic:spPr>
                </pic:pic>
              </a:graphicData>
            </a:graphic>
            <wp14:sizeRelH relativeFrom="margin">
              <wp14:pctWidth>0</wp14:pctWidth>
            </wp14:sizeRelH>
            <wp14:sizeRelV relativeFrom="margin">
              <wp14:pctHeight>0</wp14:pctHeight>
            </wp14:sizeRelV>
          </wp:anchor>
        </w:drawing>
      </w:r>
    </w:p>
    <w:p w14:paraId="10CC61F7" w14:textId="32E33BE8" w:rsidR="00490CF0" w:rsidRDefault="00490CF0">
      <w:pPr>
        <w:widowControl/>
        <w:spacing w:after="0" w:line="240" w:lineRule="auto"/>
        <w:rPr>
          <w:b/>
          <w:color w:val="319DD3" w:themeColor="accent3"/>
          <w:sz w:val="36"/>
          <w:szCs w:val="36"/>
        </w:rPr>
      </w:pPr>
      <w:r w:rsidRPr="00827267">
        <w:rPr>
          <w:noProof/>
        </w:rPr>
        <mc:AlternateContent>
          <mc:Choice Requires="wps">
            <w:drawing>
              <wp:anchor distT="0" distB="0" distL="114300" distR="114300" simplePos="0" relativeHeight="251662336" behindDoc="0" locked="0" layoutInCell="1" allowOverlap="1" wp14:anchorId="49E11A19" wp14:editId="58EE0EBC">
                <wp:simplePos x="0" y="0"/>
                <wp:positionH relativeFrom="margin">
                  <wp:posOffset>-327025</wp:posOffset>
                </wp:positionH>
                <wp:positionV relativeFrom="paragraph">
                  <wp:posOffset>5972810</wp:posOffset>
                </wp:positionV>
                <wp:extent cx="6640195" cy="2312670"/>
                <wp:effectExtent l="0" t="0" r="1905" b="0"/>
                <wp:wrapNone/>
                <wp:docPr id="6" name="TextBox 4"/>
                <wp:cNvGraphicFramePr/>
                <a:graphic xmlns:a="http://schemas.openxmlformats.org/drawingml/2006/main">
                  <a:graphicData uri="http://schemas.microsoft.com/office/word/2010/wordprocessingShape">
                    <wps:wsp>
                      <wps:cNvSpPr txBox="1"/>
                      <wps:spPr>
                        <a:xfrm>
                          <a:off x="0" y="0"/>
                          <a:ext cx="6640195" cy="2312670"/>
                        </a:xfrm>
                        <a:prstGeom prst="rect">
                          <a:avLst/>
                        </a:prstGeom>
                        <a:solidFill>
                          <a:srgbClr val="B2B2B2">
                            <a:lumMod val="20000"/>
                            <a:lumOff val="80000"/>
                          </a:srgbClr>
                        </a:solidFill>
                      </wps:spPr>
                      <wps:txbx>
                        <w:txbxContent>
                          <w:p w14:paraId="708EF1FC" w14:textId="0BFF7E84" w:rsidR="00490CF0" w:rsidRPr="00031EE7" w:rsidRDefault="00490CF0" w:rsidP="00A25030">
                            <w:pPr>
                              <w:tabs>
                                <w:tab w:val="left" w:pos="142"/>
                              </w:tabs>
                              <w:rPr>
                                <w:rFonts w:asciiTheme="majorHAnsi" w:hAnsiTheme="majorHAnsi" w:cstheme="majorHAnsi"/>
                                <w:color w:val="313131"/>
                                <w:kern w:val="24"/>
                                <w:lang w:val="en-CH"/>
                              </w:rPr>
                            </w:pPr>
                            <w:r w:rsidRPr="00031EE7">
                              <w:rPr>
                                <w:rFonts w:asciiTheme="majorHAnsi" w:hAnsiTheme="majorHAnsi" w:cstheme="majorHAnsi"/>
                                <w:color w:val="313131"/>
                                <w:kern w:val="24"/>
                              </w:rPr>
                              <w:t>This practical guideline is a component of the ‘</w:t>
                            </w:r>
                            <w:hyperlink r:id="rId8" w:history="1">
                              <w:r w:rsidRPr="00031EE7">
                                <w:rPr>
                                  <w:rStyle w:val="Hyperlink1"/>
                                  <w:rFonts w:asciiTheme="majorHAnsi" w:hAnsiTheme="majorHAnsi" w:cstheme="majorHAnsi"/>
                                  <w:i/>
                                  <w:iCs/>
                                  <w:kern w:val="24"/>
                                </w:rPr>
                                <w:t xml:space="preserve">Exploring GESI Change: </w:t>
                              </w:r>
                              <w:proofErr w:type="spellStart"/>
                              <w:r w:rsidRPr="00031EE7">
                                <w:rPr>
                                  <w:rStyle w:val="Hyperlink1"/>
                                  <w:rFonts w:asciiTheme="majorHAnsi" w:hAnsiTheme="majorHAnsi" w:cstheme="majorHAnsi"/>
                                  <w:i/>
                                  <w:iCs/>
                                  <w:kern w:val="24"/>
                                </w:rPr>
                                <w:t>qualKit</w:t>
                              </w:r>
                              <w:proofErr w:type="spellEnd"/>
                            </w:hyperlink>
                            <w:r w:rsidRPr="00031EE7">
                              <w:rPr>
                                <w:rFonts w:asciiTheme="majorHAnsi" w:hAnsiTheme="majorHAnsi" w:cstheme="majorHAnsi"/>
                                <w:color w:val="313131"/>
                                <w:kern w:val="24"/>
                              </w:rPr>
                              <w:t xml:space="preserve">.’ It is designed </w:t>
                            </w:r>
                            <w:r w:rsidRPr="00031EE7">
                              <w:rPr>
                                <w:rFonts w:asciiTheme="majorHAnsi" w:hAnsiTheme="majorHAnsi" w:cstheme="majorHAnsi"/>
                                <w:color w:val="313131"/>
                                <w:kern w:val="24"/>
                              </w:rPr>
                              <w:t>to support teams in the development of protocols when dealing with sensitive content in interviews and focus groups.</w:t>
                            </w:r>
                          </w:p>
                          <w:p w14:paraId="36E64729" w14:textId="77777777" w:rsidR="00490CF0" w:rsidRPr="00031EE7" w:rsidRDefault="00490CF0" w:rsidP="00A25030">
                            <w:pPr>
                              <w:tabs>
                                <w:tab w:val="left" w:pos="142"/>
                              </w:tabs>
                              <w:rPr>
                                <w:rFonts w:asciiTheme="majorHAnsi" w:hAnsiTheme="majorHAnsi" w:cstheme="majorHAnsi"/>
                                <w:color w:val="313131"/>
                                <w:kern w:val="24"/>
                                <w:lang w:val="en-CH"/>
                              </w:rPr>
                            </w:pPr>
                            <w:r w:rsidRPr="00031EE7">
                              <w:rPr>
                                <w:rFonts w:asciiTheme="majorHAnsi" w:hAnsiTheme="majorHAnsi" w:cstheme="majorHAnsi"/>
                                <w:color w:val="313131"/>
                                <w:kern w:val="24"/>
                              </w:rPr>
                              <w:t xml:space="preserve">Civil society organisations are invited to adapt and use these tools as part of their ongoing learning agendas. We recommend including ‘Adapted from MacArthur &amp; Grant, 2021’ in any documentation. </w:t>
                            </w:r>
                          </w:p>
                          <w:p w14:paraId="3B44B80D" w14:textId="77777777" w:rsidR="00490CF0" w:rsidRPr="00031EE7" w:rsidRDefault="00490CF0" w:rsidP="00A25030">
                            <w:pPr>
                              <w:tabs>
                                <w:tab w:val="left" w:pos="142"/>
                              </w:tabs>
                              <w:rPr>
                                <w:rFonts w:asciiTheme="majorHAnsi" w:hAnsiTheme="majorHAnsi" w:cstheme="majorHAnsi"/>
                                <w:color w:val="313131"/>
                                <w:kern w:val="24"/>
                                <w:lang w:val="en-CH"/>
                              </w:rPr>
                            </w:pPr>
                            <w:r w:rsidRPr="00031EE7">
                              <w:rPr>
                                <w:rFonts w:asciiTheme="majorHAnsi" w:hAnsiTheme="majorHAnsi" w:cstheme="majorHAnsi"/>
                                <w:color w:val="313131"/>
                                <w:kern w:val="24"/>
                              </w:rPr>
                              <w:t xml:space="preserve">The </w:t>
                            </w:r>
                            <w:r w:rsidRPr="00031EE7">
                              <w:rPr>
                                <w:rFonts w:asciiTheme="majorHAnsi" w:hAnsiTheme="majorHAnsi" w:cstheme="majorHAnsi"/>
                                <w:i/>
                                <w:iCs/>
                                <w:color w:val="313131"/>
                                <w:kern w:val="24"/>
                              </w:rPr>
                              <w:t>‘</w:t>
                            </w:r>
                            <w:hyperlink r:id="rId9" w:history="1">
                              <w:r w:rsidRPr="00031EE7">
                                <w:rPr>
                                  <w:rStyle w:val="Hyperlink1"/>
                                  <w:rFonts w:asciiTheme="majorHAnsi" w:hAnsiTheme="majorHAnsi" w:cstheme="majorHAnsi"/>
                                  <w:i/>
                                  <w:iCs/>
                                  <w:kern w:val="24"/>
                                </w:rPr>
                                <w:t xml:space="preserve">Exploring GESI Change: </w:t>
                              </w:r>
                              <w:proofErr w:type="spellStart"/>
                              <w:r w:rsidRPr="00031EE7">
                                <w:rPr>
                                  <w:rStyle w:val="Hyperlink1"/>
                                  <w:rFonts w:asciiTheme="majorHAnsi" w:hAnsiTheme="majorHAnsi" w:cstheme="majorHAnsi"/>
                                  <w:i/>
                                  <w:iCs/>
                                  <w:kern w:val="24"/>
                                </w:rPr>
                                <w:t>qualKit</w:t>
                              </w:r>
                              <w:proofErr w:type="spellEnd"/>
                            </w:hyperlink>
                            <w:r w:rsidRPr="00031EE7">
                              <w:rPr>
                                <w:rFonts w:asciiTheme="majorHAnsi" w:hAnsiTheme="majorHAnsi" w:cstheme="majorHAnsi"/>
                                <w:i/>
                                <w:iCs/>
                                <w:color w:val="313131"/>
                                <w:kern w:val="24"/>
                              </w:rPr>
                              <w:t xml:space="preserve">’ </w:t>
                            </w:r>
                            <w:r w:rsidRPr="00031EE7">
                              <w:rPr>
                                <w:rFonts w:asciiTheme="majorHAnsi" w:hAnsiTheme="majorHAnsi" w:cstheme="majorHAnsi"/>
                                <w:color w:val="313131"/>
                                <w:kern w:val="24"/>
                              </w:rPr>
                              <w:t xml:space="preserve">digital toolkit hosts a curated set of qualitative monitoring, evaluation and learning (MEL) tools designed for gender equality, and social inclusion (GESI) programs and is supported by the Australian Government’s </w:t>
                            </w:r>
                            <w:hyperlink r:id="rId10" w:history="1">
                              <w:r w:rsidRPr="00031EE7">
                                <w:rPr>
                                  <w:rStyle w:val="Hyperlink1"/>
                                  <w:rFonts w:asciiTheme="majorHAnsi" w:hAnsiTheme="majorHAnsi" w:cstheme="majorHAnsi"/>
                                  <w:kern w:val="24"/>
                                </w:rPr>
                                <w:t>Water for Women Fund</w:t>
                              </w:r>
                            </w:hyperlink>
                            <w:r w:rsidRPr="00031EE7">
                              <w:rPr>
                                <w:rFonts w:asciiTheme="majorHAnsi" w:hAnsiTheme="majorHAnsi" w:cstheme="majorHAnsi"/>
                                <w:color w:val="313131"/>
                                <w:kern w:val="24"/>
                              </w:rPr>
                              <w:t xml:space="preserve">. </w:t>
                            </w:r>
                          </w:p>
                          <w:p w14:paraId="5655A17D" w14:textId="77777777" w:rsidR="00490CF0" w:rsidRPr="00031EE7" w:rsidRDefault="00490CF0" w:rsidP="00A25030">
                            <w:pPr>
                              <w:tabs>
                                <w:tab w:val="left" w:pos="142"/>
                              </w:tabs>
                              <w:rPr>
                                <w:rFonts w:asciiTheme="majorHAnsi" w:hAnsiTheme="majorHAnsi" w:cstheme="majorHAnsi"/>
                                <w:color w:val="B2B2B2"/>
                                <w:kern w:val="24"/>
                                <w:lang w:val="en-CH"/>
                              </w:rPr>
                            </w:pPr>
                            <w:r w:rsidRPr="00031EE7">
                              <w:rPr>
                                <w:rFonts w:asciiTheme="majorHAnsi" w:hAnsiTheme="majorHAnsi" w:cstheme="majorHAnsi"/>
                                <w:b/>
                                <w:color w:val="B2B2B2"/>
                                <w:kern w:val="24"/>
                              </w:rPr>
                              <w:t xml:space="preserve">Recommended Citation: </w:t>
                            </w:r>
                            <w:r w:rsidRPr="00031EE7">
                              <w:rPr>
                                <w:rFonts w:asciiTheme="majorHAnsi" w:hAnsiTheme="majorHAnsi" w:cstheme="majorHAnsi"/>
                                <w:color w:val="B2B2B2"/>
                                <w:kern w:val="24"/>
                              </w:rPr>
                              <w:t xml:space="preserve">MacArthur, J. &amp; Grant, M. (2021). </w:t>
                            </w:r>
                            <w:r w:rsidRPr="00031EE7">
                              <w:rPr>
                                <w:rFonts w:asciiTheme="majorHAnsi" w:hAnsiTheme="majorHAnsi" w:cstheme="majorHAnsi"/>
                                <w:i/>
                                <w:iCs/>
                                <w:color w:val="B2B2B2"/>
                                <w:kern w:val="24"/>
                              </w:rPr>
                              <w:t xml:space="preserve">Exploring GESI Change: </w:t>
                            </w:r>
                            <w:proofErr w:type="spellStart"/>
                            <w:r w:rsidRPr="00031EE7">
                              <w:rPr>
                                <w:rFonts w:asciiTheme="majorHAnsi" w:hAnsiTheme="majorHAnsi" w:cstheme="majorHAnsi"/>
                                <w:i/>
                                <w:iCs/>
                                <w:color w:val="B2B2B2"/>
                                <w:kern w:val="24"/>
                              </w:rPr>
                              <w:t>qualKit</w:t>
                            </w:r>
                            <w:proofErr w:type="spellEnd"/>
                            <w:r w:rsidRPr="00031EE7">
                              <w:rPr>
                                <w:rFonts w:asciiTheme="majorHAnsi" w:hAnsiTheme="majorHAnsi" w:cstheme="majorHAnsi"/>
                                <w:color w:val="B2B2B2"/>
                                <w:kern w:val="24"/>
                              </w:rPr>
                              <w:t>: Qualitative Monitoring, Evaluation and Learning for Gender Equality and Social Inclusion Outcomes in WASH – Digital Toolkit. Institute for Sustainable Futures, University of Technology Sydney.</w:t>
                            </w:r>
                          </w:p>
                          <w:p w14:paraId="2E211F4A" w14:textId="77777777" w:rsidR="00490CF0" w:rsidRPr="00031EE7" w:rsidRDefault="00490CF0" w:rsidP="00A25030">
                            <w:pPr>
                              <w:tabs>
                                <w:tab w:val="left" w:pos="142"/>
                              </w:tabs>
                              <w:rPr>
                                <w:rFonts w:asciiTheme="majorHAnsi" w:hAnsiTheme="majorHAnsi" w:cstheme="majorHAnsi"/>
                                <w:color w:val="313131"/>
                                <w:kern w:val="24"/>
                              </w:rPr>
                            </w:pPr>
                          </w:p>
                        </w:txbxContent>
                      </wps:txbx>
                      <wps:bodyPr wrap="square" lIns="144000" tIns="144000" rIns="144000" bIns="144000" rtlCol="0">
                        <a:noAutofit/>
                      </wps:bodyPr>
                    </wps:wsp>
                  </a:graphicData>
                </a:graphic>
                <wp14:sizeRelH relativeFrom="margin">
                  <wp14:pctWidth>0</wp14:pctWidth>
                </wp14:sizeRelH>
                <wp14:sizeRelV relativeFrom="margin">
                  <wp14:pctHeight>0</wp14:pctHeight>
                </wp14:sizeRelV>
              </wp:anchor>
            </w:drawing>
          </mc:Choice>
          <mc:Fallback>
            <w:pict>
              <v:shapetype w14:anchorId="49E11A19" id="_x0000_t202" coordsize="21600,21600" o:spt="202" path="m,l,21600r21600,l21600,xe">
                <v:stroke joinstyle="miter"/>
                <v:path gradientshapeok="t" o:connecttype="rect"/>
              </v:shapetype>
              <v:shape id="TextBox 4" o:spid="_x0000_s1026" type="#_x0000_t202" style="position:absolute;margin-left:-25.75pt;margin-top:470.3pt;width:522.85pt;height:18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" fillcolor="#f0f0f0" stroked="f">
                <v:textbox inset="4mm,4mm,4mm,4mm">
                  <w:txbxContent>
                    <w:p w14:paraId="708EF1FC" w14:textId="0BFF7E84" w:rsidR="00490CF0" w:rsidRPr="00031EE7" w:rsidRDefault="00490CF0" w:rsidP="00A25030">
                      <w:pPr>
                        <w:tabs>
                          <w:tab w:val="left" w:pos="142"/>
                        </w:tabs>
                        <w:rPr>
                          <w:rFonts w:asciiTheme="majorHAnsi" w:hAnsiTheme="majorHAnsi" w:cstheme="majorHAnsi"/>
                          <w:color w:val="313131"/>
                          <w:kern w:val="24"/>
                          <w:lang w:val="en-CH"/>
                        </w:rPr>
                      </w:pPr>
                      <w:r w:rsidRPr="00031EE7">
                        <w:rPr>
                          <w:rFonts w:asciiTheme="majorHAnsi" w:hAnsiTheme="majorHAnsi" w:cstheme="majorHAnsi"/>
                          <w:color w:val="313131"/>
                          <w:kern w:val="24"/>
                        </w:rPr>
                        <w:t>This practical guideline is a component of the ‘</w:t>
                      </w:r>
                      <w:hyperlink r:id="rId11" w:history="1">
                        <w:r w:rsidRPr="00031EE7">
                          <w:rPr>
                            <w:rStyle w:val="Hyperlink1"/>
                            <w:rFonts w:asciiTheme="majorHAnsi" w:hAnsiTheme="majorHAnsi" w:cstheme="majorHAnsi"/>
                            <w:i/>
                            <w:iCs/>
                            <w:kern w:val="24"/>
                          </w:rPr>
                          <w:t xml:space="preserve">Exploring GESI Change: </w:t>
                        </w:r>
                        <w:proofErr w:type="spellStart"/>
                        <w:r w:rsidRPr="00031EE7">
                          <w:rPr>
                            <w:rStyle w:val="Hyperlink1"/>
                            <w:rFonts w:asciiTheme="majorHAnsi" w:hAnsiTheme="majorHAnsi" w:cstheme="majorHAnsi"/>
                            <w:i/>
                            <w:iCs/>
                            <w:kern w:val="24"/>
                          </w:rPr>
                          <w:t>qualKit</w:t>
                        </w:r>
                        <w:proofErr w:type="spellEnd"/>
                      </w:hyperlink>
                      <w:r w:rsidRPr="00031EE7">
                        <w:rPr>
                          <w:rFonts w:asciiTheme="majorHAnsi" w:hAnsiTheme="majorHAnsi" w:cstheme="majorHAnsi"/>
                          <w:color w:val="313131"/>
                          <w:kern w:val="24"/>
                        </w:rPr>
                        <w:t xml:space="preserve">.’ It is designed </w:t>
                      </w:r>
                      <w:r w:rsidRPr="00031EE7">
                        <w:rPr>
                          <w:rFonts w:asciiTheme="majorHAnsi" w:hAnsiTheme="majorHAnsi" w:cstheme="majorHAnsi"/>
                          <w:color w:val="313131"/>
                          <w:kern w:val="24"/>
                        </w:rPr>
                        <w:t>to support teams in the development of protocols when dealing with sensitive content in interviews and focus groups.</w:t>
                      </w:r>
                    </w:p>
                    <w:p w14:paraId="36E64729" w14:textId="77777777" w:rsidR="00490CF0" w:rsidRPr="00031EE7" w:rsidRDefault="00490CF0" w:rsidP="00A25030">
                      <w:pPr>
                        <w:tabs>
                          <w:tab w:val="left" w:pos="142"/>
                        </w:tabs>
                        <w:rPr>
                          <w:rFonts w:asciiTheme="majorHAnsi" w:hAnsiTheme="majorHAnsi" w:cstheme="majorHAnsi"/>
                          <w:color w:val="313131"/>
                          <w:kern w:val="24"/>
                          <w:lang w:val="en-CH"/>
                        </w:rPr>
                      </w:pPr>
                      <w:r w:rsidRPr="00031EE7">
                        <w:rPr>
                          <w:rFonts w:asciiTheme="majorHAnsi" w:hAnsiTheme="majorHAnsi" w:cstheme="majorHAnsi"/>
                          <w:color w:val="313131"/>
                          <w:kern w:val="24"/>
                        </w:rPr>
                        <w:t xml:space="preserve">Civil society organisations are invited to adapt and use these tools as part of their ongoing learning agendas. We recommend including ‘Adapted from MacArthur &amp; Grant, 2021’ in any documentation. </w:t>
                      </w:r>
                    </w:p>
                    <w:p w14:paraId="3B44B80D" w14:textId="77777777" w:rsidR="00490CF0" w:rsidRPr="00031EE7" w:rsidRDefault="00490CF0" w:rsidP="00A25030">
                      <w:pPr>
                        <w:tabs>
                          <w:tab w:val="left" w:pos="142"/>
                        </w:tabs>
                        <w:rPr>
                          <w:rFonts w:asciiTheme="majorHAnsi" w:hAnsiTheme="majorHAnsi" w:cstheme="majorHAnsi"/>
                          <w:color w:val="313131"/>
                          <w:kern w:val="24"/>
                          <w:lang w:val="en-CH"/>
                        </w:rPr>
                      </w:pPr>
                      <w:r w:rsidRPr="00031EE7">
                        <w:rPr>
                          <w:rFonts w:asciiTheme="majorHAnsi" w:hAnsiTheme="majorHAnsi" w:cstheme="majorHAnsi"/>
                          <w:color w:val="313131"/>
                          <w:kern w:val="24"/>
                        </w:rPr>
                        <w:t xml:space="preserve">The </w:t>
                      </w:r>
                      <w:r w:rsidRPr="00031EE7">
                        <w:rPr>
                          <w:rFonts w:asciiTheme="majorHAnsi" w:hAnsiTheme="majorHAnsi" w:cstheme="majorHAnsi"/>
                          <w:i/>
                          <w:iCs/>
                          <w:color w:val="313131"/>
                          <w:kern w:val="24"/>
                        </w:rPr>
                        <w:t>‘</w:t>
                      </w:r>
                      <w:hyperlink r:id="rId12" w:history="1">
                        <w:r w:rsidRPr="00031EE7">
                          <w:rPr>
                            <w:rStyle w:val="Hyperlink1"/>
                            <w:rFonts w:asciiTheme="majorHAnsi" w:hAnsiTheme="majorHAnsi" w:cstheme="majorHAnsi"/>
                            <w:i/>
                            <w:iCs/>
                            <w:kern w:val="24"/>
                          </w:rPr>
                          <w:t xml:space="preserve">Exploring GESI Change: </w:t>
                        </w:r>
                        <w:proofErr w:type="spellStart"/>
                        <w:r w:rsidRPr="00031EE7">
                          <w:rPr>
                            <w:rStyle w:val="Hyperlink1"/>
                            <w:rFonts w:asciiTheme="majorHAnsi" w:hAnsiTheme="majorHAnsi" w:cstheme="majorHAnsi"/>
                            <w:i/>
                            <w:iCs/>
                            <w:kern w:val="24"/>
                          </w:rPr>
                          <w:t>qualKit</w:t>
                        </w:r>
                        <w:proofErr w:type="spellEnd"/>
                      </w:hyperlink>
                      <w:r w:rsidRPr="00031EE7">
                        <w:rPr>
                          <w:rFonts w:asciiTheme="majorHAnsi" w:hAnsiTheme="majorHAnsi" w:cstheme="majorHAnsi"/>
                          <w:i/>
                          <w:iCs/>
                          <w:color w:val="313131"/>
                          <w:kern w:val="24"/>
                        </w:rPr>
                        <w:t xml:space="preserve">’ </w:t>
                      </w:r>
                      <w:r w:rsidRPr="00031EE7">
                        <w:rPr>
                          <w:rFonts w:asciiTheme="majorHAnsi" w:hAnsiTheme="majorHAnsi" w:cstheme="majorHAnsi"/>
                          <w:color w:val="313131"/>
                          <w:kern w:val="24"/>
                        </w:rPr>
                        <w:t xml:space="preserve">digital toolkit hosts a curated set of qualitative monitoring, evaluation and learning (MEL) tools designed for gender equality, and social inclusion (GESI) programs and is supported by the Australian Government’s </w:t>
                      </w:r>
                      <w:hyperlink r:id="rId13" w:history="1">
                        <w:r w:rsidRPr="00031EE7">
                          <w:rPr>
                            <w:rStyle w:val="Hyperlink1"/>
                            <w:rFonts w:asciiTheme="majorHAnsi" w:hAnsiTheme="majorHAnsi" w:cstheme="majorHAnsi"/>
                            <w:kern w:val="24"/>
                          </w:rPr>
                          <w:t>Water for Women Fund</w:t>
                        </w:r>
                      </w:hyperlink>
                      <w:r w:rsidRPr="00031EE7">
                        <w:rPr>
                          <w:rFonts w:asciiTheme="majorHAnsi" w:hAnsiTheme="majorHAnsi" w:cstheme="majorHAnsi"/>
                          <w:color w:val="313131"/>
                          <w:kern w:val="24"/>
                        </w:rPr>
                        <w:t xml:space="preserve">. </w:t>
                      </w:r>
                    </w:p>
                    <w:p w14:paraId="5655A17D" w14:textId="77777777" w:rsidR="00490CF0" w:rsidRPr="00031EE7" w:rsidRDefault="00490CF0" w:rsidP="00A25030">
                      <w:pPr>
                        <w:tabs>
                          <w:tab w:val="left" w:pos="142"/>
                        </w:tabs>
                        <w:rPr>
                          <w:rFonts w:asciiTheme="majorHAnsi" w:hAnsiTheme="majorHAnsi" w:cstheme="majorHAnsi"/>
                          <w:color w:val="B2B2B2"/>
                          <w:kern w:val="24"/>
                          <w:lang w:val="en-CH"/>
                        </w:rPr>
                      </w:pPr>
                      <w:r w:rsidRPr="00031EE7">
                        <w:rPr>
                          <w:rFonts w:asciiTheme="majorHAnsi" w:hAnsiTheme="majorHAnsi" w:cstheme="majorHAnsi"/>
                          <w:b/>
                          <w:color w:val="B2B2B2"/>
                          <w:kern w:val="24"/>
                        </w:rPr>
                        <w:t xml:space="preserve">Recommended Citation: </w:t>
                      </w:r>
                      <w:r w:rsidRPr="00031EE7">
                        <w:rPr>
                          <w:rFonts w:asciiTheme="majorHAnsi" w:hAnsiTheme="majorHAnsi" w:cstheme="majorHAnsi"/>
                          <w:color w:val="B2B2B2"/>
                          <w:kern w:val="24"/>
                        </w:rPr>
                        <w:t xml:space="preserve">MacArthur, J. &amp; Grant, M. (2021). </w:t>
                      </w:r>
                      <w:r w:rsidRPr="00031EE7">
                        <w:rPr>
                          <w:rFonts w:asciiTheme="majorHAnsi" w:hAnsiTheme="majorHAnsi" w:cstheme="majorHAnsi"/>
                          <w:i/>
                          <w:iCs/>
                          <w:color w:val="B2B2B2"/>
                          <w:kern w:val="24"/>
                        </w:rPr>
                        <w:t xml:space="preserve">Exploring GESI Change: </w:t>
                      </w:r>
                      <w:proofErr w:type="spellStart"/>
                      <w:r w:rsidRPr="00031EE7">
                        <w:rPr>
                          <w:rFonts w:asciiTheme="majorHAnsi" w:hAnsiTheme="majorHAnsi" w:cstheme="majorHAnsi"/>
                          <w:i/>
                          <w:iCs/>
                          <w:color w:val="B2B2B2"/>
                          <w:kern w:val="24"/>
                        </w:rPr>
                        <w:t>qualKit</w:t>
                      </w:r>
                      <w:proofErr w:type="spellEnd"/>
                      <w:r w:rsidRPr="00031EE7">
                        <w:rPr>
                          <w:rFonts w:asciiTheme="majorHAnsi" w:hAnsiTheme="majorHAnsi" w:cstheme="majorHAnsi"/>
                          <w:color w:val="B2B2B2"/>
                          <w:kern w:val="24"/>
                        </w:rPr>
                        <w:t>: Qualitative Monitoring, Evaluation and Learning for Gender Equality and Social Inclusion Outcomes in WASH – Digital Toolkit. Institute for Sustainable Futures, University of Technology Sydney.</w:t>
                      </w:r>
                    </w:p>
                    <w:p w14:paraId="2E211F4A" w14:textId="77777777" w:rsidR="00490CF0" w:rsidRPr="00031EE7" w:rsidRDefault="00490CF0" w:rsidP="00A25030">
                      <w:pPr>
                        <w:tabs>
                          <w:tab w:val="left" w:pos="142"/>
                        </w:tabs>
                        <w:rPr>
                          <w:rFonts w:asciiTheme="majorHAnsi" w:hAnsiTheme="majorHAnsi" w:cstheme="majorHAnsi"/>
                          <w:color w:val="313131"/>
                          <w:kern w:val="24"/>
                        </w:rPr>
                      </w:pPr>
                    </w:p>
                  </w:txbxContent>
                </v:textbox>
                <w10:wrap anchorx="margin"/>
              </v:shape>
            </w:pict>
          </mc:Fallback>
        </mc:AlternateContent>
      </w:r>
      <w:r w:rsidRPr="00490CF0">
        <mc:AlternateContent>
          <mc:Choice Requires="wps">
            <w:drawing>
              <wp:anchor distT="0" distB="0" distL="114300" distR="114300" simplePos="0" relativeHeight="251659264" behindDoc="0" locked="0" layoutInCell="1" allowOverlap="1" wp14:anchorId="72D3ECCC" wp14:editId="183913D1">
                <wp:simplePos x="0" y="0"/>
                <wp:positionH relativeFrom="column">
                  <wp:posOffset>-158400</wp:posOffset>
                </wp:positionH>
                <wp:positionV relativeFrom="paragraph">
                  <wp:posOffset>1186890</wp:posOffset>
                </wp:positionV>
                <wp:extent cx="5244353" cy="2599200"/>
                <wp:effectExtent l="0" t="0" r="0" b="0"/>
                <wp:wrapNone/>
                <wp:docPr id="5" name="Rectangle 1"/>
                <wp:cNvGraphicFramePr/>
                <a:graphic xmlns:a="http://schemas.openxmlformats.org/drawingml/2006/main">
                  <a:graphicData uri="http://schemas.microsoft.com/office/word/2010/wordprocessingShape">
                    <wps:wsp>
                      <wps:cNvSpPr/>
                      <wps:spPr>
                        <a:xfrm>
                          <a:off x="0" y="0"/>
                          <a:ext cx="5244353" cy="2599200"/>
                        </a:xfrm>
                        <a:prstGeom prst="rect">
                          <a:avLst/>
                        </a:prstGeom>
                      </wps:spPr>
                      <wps:txbx>
                        <w:txbxContent>
                          <w:p w14:paraId="5F82AD58" w14:textId="77777777" w:rsidR="00490CF0" w:rsidRPr="00490CF0" w:rsidRDefault="00490CF0" w:rsidP="00490CF0">
                            <w:pPr>
                              <w:rPr>
                                <w:rFonts w:asciiTheme="majorHAnsi" w:hAnsiTheme="majorHAnsi" w:cstheme="majorHAnsi"/>
                                <w:b/>
                                <w:bCs w:val="0"/>
                                <w:color w:val="000000"/>
                                <w:kern w:val="24"/>
                                <w:sz w:val="52"/>
                                <w:szCs w:val="52"/>
                                <w:lang w:val="en-AU"/>
                              </w:rPr>
                            </w:pPr>
                            <w:r w:rsidRPr="00490CF0">
                              <w:rPr>
                                <w:rFonts w:asciiTheme="majorHAnsi" w:hAnsiTheme="majorHAnsi" w:cstheme="majorHAnsi"/>
                                <w:b/>
                                <w:bCs w:val="0"/>
                                <w:color w:val="000000"/>
                                <w:kern w:val="24"/>
                                <w:sz w:val="52"/>
                                <w:szCs w:val="52"/>
                                <w:lang w:val="en-AU"/>
                              </w:rPr>
                              <w:t xml:space="preserve">Strategies for Do-no-harm in Monitoring, Evaluation and Learning (MEL) </w:t>
                            </w:r>
                          </w:p>
                          <w:p w14:paraId="5C4125BF" w14:textId="77777777" w:rsidR="00490CF0" w:rsidRPr="00490CF0" w:rsidRDefault="00490CF0" w:rsidP="00490CF0">
                            <w:pPr>
                              <w:rPr>
                                <w:rFonts w:asciiTheme="majorHAnsi" w:hAnsiTheme="majorHAnsi" w:cstheme="majorHAnsi"/>
                                <w:b/>
                                <w:bCs w:val="0"/>
                                <w:color w:val="000000"/>
                                <w:kern w:val="24"/>
                                <w:sz w:val="52"/>
                                <w:szCs w:val="52"/>
                                <w:lang w:val="en-AU"/>
                              </w:rPr>
                            </w:pPr>
                          </w:p>
                          <w:p w14:paraId="04C8D8E5" w14:textId="3340E941" w:rsidR="00490CF0" w:rsidRPr="00490CF0" w:rsidRDefault="00490CF0" w:rsidP="00490CF0">
                            <w:pPr>
                              <w:rPr>
                                <w:rFonts w:asciiTheme="majorHAnsi" w:hAnsiTheme="majorHAnsi" w:cstheme="majorHAnsi"/>
                                <w:color w:val="000000"/>
                                <w:kern w:val="24"/>
                                <w:sz w:val="52"/>
                                <w:szCs w:val="52"/>
                                <w:lang w:val="en-AU"/>
                              </w:rPr>
                            </w:pPr>
                            <w:r w:rsidRPr="00490CF0">
                              <w:rPr>
                                <w:rFonts w:asciiTheme="majorHAnsi" w:hAnsiTheme="majorHAnsi" w:cstheme="majorHAnsi"/>
                                <w:color w:val="000000"/>
                                <w:kern w:val="24"/>
                                <w:sz w:val="52"/>
                                <w:szCs w:val="52"/>
                                <w:lang w:val="en-AU"/>
                              </w:rPr>
                              <w:t>Guideline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D3ECCC" id="Rectangle 1" o:spid="_x0000_s1027" style="position:absolute;margin-left:-12.45pt;margin-top:93.45pt;width:412.95pt;height:2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" filled="f" stroked="f">
                <v:textbox>
                  <w:txbxContent>
                    <w:p w14:paraId="5F82AD58" w14:textId="77777777" w:rsidR="00490CF0" w:rsidRPr="00490CF0" w:rsidRDefault="00490CF0" w:rsidP="00490CF0">
                      <w:pPr>
                        <w:rPr>
                          <w:rFonts w:asciiTheme="majorHAnsi" w:hAnsiTheme="majorHAnsi" w:cstheme="majorHAnsi"/>
                          <w:b/>
                          <w:bCs w:val="0"/>
                          <w:color w:val="000000"/>
                          <w:kern w:val="24"/>
                          <w:sz w:val="52"/>
                          <w:szCs w:val="52"/>
                          <w:lang w:val="en-AU"/>
                        </w:rPr>
                      </w:pPr>
                      <w:r w:rsidRPr="00490CF0">
                        <w:rPr>
                          <w:rFonts w:asciiTheme="majorHAnsi" w:hAnsiTheme="majorHAnsi" w:cstheme="majorHAnsi"/>
                          <w:b/>
                          <w:bCs w:val="0"/>
                          <w:color w:val="000000"/>
                          <w:kern w:val="24"/>
                          <w:sz w:val="52"/>
                          <w:szCs w:val="52"/>
                          <w:lang w:val="en-AU"/>
                        </w:rPr>
                        <w:t xml:space="preserve">Strategies for Do-no-harm in Monitoring, Evaluation and Learning (MEL) </w:t>
                      </w:r>
                    </w:p>
                    <w:p w14:paraId="5C4125BF" w14:textId="77777777" w:rsidR="00490CF0" w:rsidRPr="00490CF0" w:rsidRDefault="00490CF0" w:rsidP="00490CF0">
                      <w:pPr>
                        <w:rPr>
                          <w:rFonts w:asciiTheme="majorHAnsi" w:hAnsiTheme="majorHAnsi" w:cstheme="majorHAnsi"/>
                          <w:b/>
                          <w:bCs w:val="0"/>
                          <w:color w:val="000000"/>
                          <w:kern w:val="24"/>
                          <w:sz w:val="52"/>
                          <w:szCs w:val="52"/>
                          <w:lang w:val="en-AU"/>
                        </w:rPr>
                      </w:pPr>
                    </w:p>
                    <w:p w14:paraId="04C8D8E5" w14:textId="3340E941" w:rsidR="00490CF0" w:rsidRPr="00490CF0" w:rsidRDefault="00490CF0" w:rsidP="00490CF0">
                      <w:pPr>
                        <w:rPr>
                          <w:rFonts w:asciiTheme="majorHAnsi" w:hAnsiTheme="majorHAnsi" w:cstheme="majorHAnsi"/>
                          <w:color w:val="000000"/>
                          <w:kern w:val="24"/>
                          <w:sz w:val="52"/>
                          <w:szCs w:val="52"/>
                          <w:lang w:val="en-AU"/>
                        </w:rPr>
                      </w:pPr>
                      <w:r w:rsidRPr="00490CF0">
                        <w:rPr>
                          <w:rFonts w:asciiTheme="majorHAnsi" w:hAnsiTheme="majorHAnsi" w:cstheme="majorHAnsi"/>
                          <w:color w:val="000000"/>
                          <w:kern w:val="24"/>
                          <w:sz w:val="52"/>
                          <w:szCs w:val="52"/>
                          <w:lang w:val="en-AU"/>
                        </w:rPr>
                        <w:t>Guideline</w:t>
                      </w:r>
                    </w:p>
                  </w:txbxContent>
                </v:textbox>
              </v:rect>
            </w:pict>
          </mc:Fallback>
        </mc:AlternateContent>
      </w:r>
      <w:r>
        <w:br w:type="page"/>
      </w:r>
    </w:p>
    <w:p w14:paraId="35EFB57C" w14:textId="61D3AE23" w:rsidR="00DA5D12" w:rsidRPr="00F47069" w:rsidRDefault="00DA5D12" w:rsidP="00DA5D12">
      <w:pPr>
        <w:pStyle w:val="Heading1"/>
      </w:pPr>
      <w:r w:rsidRPr="00F47069">
        <w:lastRenderedPageBreak/>
        <w:t xml:space="preserve">Strategies </w:t>
      </w:r>
      <w:r>
        <w:t>for D</w:t>
      </w:r>
      <w:r w:rsidRPr="00F47069">
        <w:t xml:space="preserve">o-no-harm </w:t>
      </w:r>
      <w:r>
        <w:rPr>
          <w:color w:val="319DD3"/>
        </w:rPr>
        <w:t xml:space="preserve">in </w:t>
      </w:r>
      <w:r w:rsidRPr="00724295">
        <w:rPr>
          <w:color w:val="319DD3"/>
        </w:rPr>
        <w:t xml:space="preserve">Monitoring, Evaluation and Learning (MEL) </w:t>
      </w:r>
    </w:p>
    <w:p w14:paraId="48121822" w14:textId="77777777" w:rsidR="00DA5D12" w:rsidRPr="00167E94" w:rsidRDefault="00DA5D12" w:rsidP="00DA5D12">
      <w:pPr>
        <w:rPr>
          <w:rFonts w:asciiTheme="majorHAnsi" w:hAnsiTheme="majorHAnsi" w:cstheme="majorHAnsi"/>
        </w:rPr>
      </w:pPr>
      <w:r w:rsidRPr="00167E94">
        <w:rPr>
          <w:rFonts w:asciiTheme="majorHAnsi" w:hAnsiTheme="majorHAnsi" w:cstheme="majorHAnsi"/>
        </w:rPr>
        <w:t xml:space="preserve">All </w:t>
      </w:r>
      <w:r>
        <w:rPr>
          <w:rFonts w:asciiTheme="majorHAnsi" w:hAnsiTheme="majorHAnsi" w:cstheme="majorHAnsi"/>
        </w:rPr>
        <w:t xml:space="preserve">work </w:t>
      </w:r>
      <w:r w:rsidRPr="00167E94">
        <w:rPr>
          <w:rFonts w:asciiTheme="majorHAnsi" w:hAnsiTheme="majorHAnsi" w:cstheme="majorHAnsi"/>
        </w:rPr>
        <w:t xml:space="preserve">within the Water for Women fund has a specific mandate to ensure that no harm occurs within the process of </w:t>
      </w:r>
      <w:r>
        <w:rPr>
          <w:rFonts w:asciiTheme="majorHAnsi" w:hAnsiTheme="majorHAnsi" w:cstheme="majorHAnsi"/>
        </w:rPr>
        <w:t xml:space="preserve">designing, delivering, </w:t>
      </w:r>
      <w:r w:rsidRPr="00167E94">
        <w:rPr>
          <w:rFonts w:asciiTheme="majorHAnsi" w:hAnsiTheme="majorHAnsi" w:cstheme="majorHAnsi"/>
        </w:rPr>
        <w:t xml:space="preserve">monitoring, </w:t>
      </w:r>
      <w:r>
        <w:rPr>
          <w:rFonts w:asciiTheme="majorHAnsi" w:hAnsiTheme="majorHAnsi" w:cstheme="majorHAnsi"/>
        </w:rPr>
        <w:t>evaluation and learning (MEL).</w:t>
      </w:r>
    </w:p>
    <w:p w14:paraId="7934B221" w14:textId="77777777" w:rsidR="00DA5D12" w:rsidRDefault="00DA5D12" w:rsidP="00DA5D12">
      <w:pPr>
        <w:rPr>
          <w:rFonts w:asciiTheme="majorHAnsi" w:hAnsiTheme="majorHAnsi" w:cstheme="majorHAnsi"/>
        </w:rPr>
      </w:pPr>
      <w:r w:rsidRPr="00167E94">
        <w:rPr>
          <w:rFonts w:asciiTheme="majorHAnsi" w:hAnsiTheme="majorHAnsi" w:cstheme="majorHAnsi"/>
        </w:rPr>
        <w:t xml:space="preserve">A strong do-no-harm strategy is centred on </w:t>
      </w:r>
      <w:r>
        <w:rPr>
          <w:rFonts w:asciiTheme="majorHAnsi" w:hAnsiTheme="majorHAnsi" w:cstheme="majorHAnsi"/>
        </w:rPr>
        <w:t>“</w:t>
      </w:r>
      <w:r w:rsidRPr="00167E94">
        <w:rPr>
          <w:rFonts w:asciiTheme="majorHAnsi" w:hAnsiTheme="majorHAnsi" w:cstheme="majorHAnsi"/>
        </w:rPr>
        <w:t>distress protocols</w:t>
      </w:r>
      <w:r>
        <w:rPr>
          <w:rFonts w:asciiTheme="majorHAnsi" w:hAnsiTheme="majorHAnsi" w:cstheme="majorHAnsi"/>
        </w:rPr>
        <w:t>”</w:t>
      </w:r>
      <w:r w:rsidRPr="00167E94">
        <w:rPr>
          <w:rFonts w:asciiTheme="majorHAnsi" w:hAnsiTheme="majorHAnsi" w:cstheme="majorHAnsi"/>
        </w:rPr>
        <w:t xml:space="preserve"> for research participants and researchers. </w:t>
      </w:r>
      <w:r>
        <w:rPr>
          <w:rFonts w:asciiTheme="majorHAnsi" w:hAnsiTheme="majorHAnsi" w:cstheme="majorHAnsi"/>
        </w:rPr>
        <w:t xml:space="preserve">Distress protocols are strategies that MEL teams can take if any participants or researchers become distressed during the research. </w:t>
      </w:r>
    </w:p>
    <w:p w14:paraId="75A29DC3" w14:textId="77777777" w:rsidR="00DA5D12" w:rsidRDefault="00DA5D12" w:rsidP="00DA5D12">
      <w:pPr>
        <w:rPr>
          <w:rFonts w:asciiTheme="majorHAnsi" w:hAnsiTheme="majorHAnsi" w:cstheme="majorHAnsi"/>
        </w:rPr>
      </w:pPr>
      <w:r>
        <w:rPr>
          <w:rFonts w:asciiTheme="majorHAnsi" w:hAnsiTheme="majorHAnsi" w:cstheme="majorHAnsi"/>
        </w:rPr>
        <w:t xml:space="preserve">Distress is an emotional and often physical response to concepts or conversations that are difficult or worrying. It can happen when thinking about past difficult experiences, or about one’s current state or even about a lack of agency to change one’s future. Some people become quiet, some cry, or look physically overwhelmed, and some even get angry. Distress can happen for both participants and researchers. </w:t>
      </w:r>
    </w:p>
    <w:p w14:paraId="7A8B32C1" w14:textId="77777777" w:rsidR="00DA5D12" w:rsidRDefault="00DA5D12" w:rsidP="00DA5D12">
      <w:pPr>
        <w:rPr>
          <w:rFonts w:asciiTheme="majorHAnsi" w:hAnsiTheme="majorHAnsi" w:cstheme="majorHAnsi"/>
        </w:rPr>
      </w:pPr>
    </w:p>
    <w:p w14:paraId="49270C20" w14:textId="77777777" w:rsidR="00DA5D12" w:rsidRPr="00167E94" w:rsidRDefault="00DA5D12" w:rsidP="00DA5D12">
      <w:pPr>
        <w:rPr>
          <w:rFonts w:asciiTheme="majorHAnsi" w:hAnsiTheme="majorHAnsi" w:cstheme="majorHAnsi"/>
        </w:rPr>
      </w:pPr>
      <w:r w:rsidRPr="00167E94">
        <w:rPr>
          <w:rFonts w:asciiTheme="majorHAnsi" w:hAnsiTheme="majorHAnsi" w:cstheme="majorHAnsi"/>
        </w:rPr>
        <w:t>Teams should follow these three steps:</w:t>
      </w:r>
    </w:p>
    <w:p w14:paraId="7A0904C2" w14:textId="77777777" w:rsidR="00DA5D12" w:rsidRPr="00167E94" w:rsidRDefault="00DA5D12" w:rsidP="00DA5D12">
      <w:pPr>
        <w:pStyle w:val="ListParagraph"/>
        <w:numPr>
          <w:ilvl w:val="0"/>
          <w:numId w:val="20"/>
        </w:numPr>
        <w:spacing w:after="240"/>
        <w:ind w:left="357" w:hanging="357"/>
        <w:contextualSpacing w:val="0"/>
        <w:rPr>
          <w:rFonts w:asciiTheme="majorHAnsi" w:hAnsiTheme="majorHAnsi" w:cstheme="majorHAnsi"/>
        </w:rPr>
      </w:pPr>
      <w:r w:rsidRPr="00167E94">
        <w:rPr>
          <w:rFonts w:asciiTheme="majorHAnsi" w:hAnsiTheme="majorHAnsi" w:cstheme="majorHAnsi"/>
          <w:b/>
        </w:rPr>
        <w:t xml:space="preserve">Preparation and planning - </w:t>
      </w:r>
      <w:r w:rsidRPr="00167E94">
        <w:rPr>
          <w:rFonts w:asciiTheme="majorHAnsi" w:hAnsiTheme="majorHAnsi" w:cstheme="majorHAnsi"/>
        </w:rPr>
        <w:t xml:space="preserve">Teams should tailor </w:t>
      </w:r>
      <w:r>
        <w:rPr>
          <w:rFonts w:asciiTheme="majorHAnsi" w:hAnsiTheme="majorHAnsi" w:cstheme="majorHAnsi"/>
        </w:rPr>
        <w:t>“</w:t>
      </w:r>
      <w:r w:rsidRPr="00F47069">
        <w:rPr>
          <w:rFonts w:asciiTheme="majorHAnsi" w:hAnsiTheme="majorHAnsi" w:cstheme="majorHAnsi"/>
        </w:rPr>
        <w:t>distress protocols</w:t>
      </w:r>
      <w:r>
        <w:rPr>
          <w:rFonts w:asciiTheme="majorHAnsi" w:hAnsiTheme="majorHAnsi" w:cstheme="majorHAnsi"/>
        </w:rPr>
        <w:t>”</w:t>
      </w:r>
      <w:r w:rsidRPr="00167E94">
        <w:rPr>
          <w:rFonts w:asciiTheme="majorHAnsi" w:hAnsiTheme="majorHAnsi" w:cstheme="majorHAnsi"/>
        </w:rPr>
        <w:t xml:space="preserve"> and </w:t>
      </w:r>
      <w:r>
        <w:rPr>
          <w:rFonts w:asciiTheme="majorHAnsi" w:hAnsiTheme="majorHAnsi" w:cstheme="majorHAnsi"/>
        </w:rPr>
        <w:t>collect</w:t>
      </w:r>
      <w:r w:rsidRPr="00167E94">
        <w:rPr>
          <w:rFonts w:asciiTheme="majorHAnsi" w:hAnsiTheme="majorHAnsi" w:cstheme="majorHAnsi"/>
        </w:rPr>
        <w:t xml:space="preserve"> local contact information for </w:t>
      </w:r>
      <w:r>
        <w:rPr>
          <w:rFonts w:asciiTheme="majorHAnsi" w:hAnsiTheme="majorHAnsi" w:cstheme="majorHAnsi"/>
        </w:rPr>
        <w:t xml:space="preserve">social and health </w:t>
      </w:r>
      <w:r w:rsidRPr="00167E94">
        <w:rPr>
          <w:rFonts w:asciiTheme="majorHAnsi" w:hAnsiTheme="majorHAnsi" w:cstheme="majorHAnsi"/>
        </w:rPr>
        <w:t xml:space="preserve">support </w:t>
      </w:r>
      <w:r>
        <w:rPr>
          <w:rFonts w:asciiTheme="majorHAnsi" w:hAnsiTheme="majorHAnsi" w:cstheme="majorHAnsi"/>
        </w:rPr>
        <w:t>services (such as women’s shelters and gender-based violence support networks)</w:t>
      </w:r>
      <w:r w:rsidRPr="00167E94">
        <w:rPr>
          <w:rFonts w:asciiTheme="majorHAnsi" w:hAnsiTheme="majorHAnsi" w:cstheme="majorHAnsi"/>
        </w:rPr>
        <w:t>. Information about support</w:t>
      </w:r>
      <w:r>
        <w:rPr>
          <w:rFonts w:asciiTheme="majorHAnsi" w:hAnsiTheme="majorHAnsi" w:cstheme="majorHAnsi"/>
        </w:rPr>
        <w:t xml:space="preserve">/referral services and networks </w:t>
      </w:r>
      <w:r w:rsidRPr="00167E94">
        <w:rPr>
          <w:rFonts w:asciiTheme="majorHAnsi" w:hAnsiTheme="majorHAnsi" w:cstheme="majorHAnsi"/>
        </w:rPr>
        <w:t xml:space="preserve">should be included on documentation that is given to all researcher participants, ideally in paper form. </w:t>
      </w:r>
    </w:p>
    <w:p w14:paraId="47087E36" w14:textId="77777777" w:rsidR="00DA5D12" w:rsidRPr="00167E94" w:rsidRDefault="00DA5D12" w:rsidP="00DA5D12">
      <w:pPr>
        <w:pStyle w:val="ListParagraph"/>
        <w:numPr>
          <w:ilvl w:val="0"/>
          <w:numId w:val="20"/>
        </w:numPr>
        <w:spacing w:after="240"/>
        <w:ind w:left="357" w:hanging="357"/>
        <w:contextualSpacing w:val="0"/>
        <w:rPr>
          <w:rFonts w:asciiTheme="majorHAnsi" w:hAnsiTheme="majorHAnsi" w:cstheme="majorHAnsi"/>
        </w:rPr>
      </w:pPr>
      <w:r w:rsidRPr="00167E94">
        <w:rPr>
          <w:rFonts w:asciiTheme="majorHAnsi" w:hAnsiTheme="majorHAnsi" w:cstheme="majorHAnsi"/>
          <w:b/>
          <w:bCs w:val="0"/>
        </w:rPr>
        <w:t>Training</w:t>
      </w:r>
      <w:r w:rsidRPr="00167E94">
        <w:rPr>
          <w:rFonts w:asciiTheme="majorHAnsi" w:hAnsiTheme="majorHAnsi" w:cstheme="majorHAnsi"/>
        </w:rPr>
        <w:t xml:space="preserve"> - All members of research teams should be </w:t>
      </w:r>
      <w:r>
        <w:rPr>
          <w:rFonts w:asciiTheme="majorHAnsi" w:hAnsiTheme="majorHAnsi" w:cstheme="majorHAnsi"/>
        </w:rPr>
        <w:t xml:space="preserve">sensitised about power and risk issues relating to women, children and people from marginalised groups, </w:t>
      </w:r>
      <w:r w:rsidRPr="00167E94">
        <w:rPr>
          <w:rFonts w:asciiTheme="majorHAnsi" w:hAnsiTheme="majorHAnsi" w:cstheme="majorHAnsi"/>
        </w:rPr>
        <w:t>trained on the protocols</w:t>
      </w:r>
      <w:r>
        <w:rPr>
          <w:rFonts w:asciiTheme="majorHAnsi" w:hAnsiTheme="majorHAnsi" w:cstheme="majorHAnsi"/>
        </w:rPr>
        <w:t xml:space="preserve">, </w:t>
      </w:r>
      <w:r w:rsidRPr="00167E94">
        <w:rPr>
          <w:rFonts w:asciiTheme="majorHAnsi" w:hAnsiTheme="majorHAnsi" w:cstheme="majorHAnsi"/>
        </w:rPr>
        <w:t xml:space="preserve">and have time for discussion. </w:t>
      </w:r>
    </w:p>
    <w:p w14:paraId="2BDEC1A6" w14:textId="77777777" w:rsidR="00DA5D12" w:rsidRPr="00167E94" w:rsidRDefault="00DA5D12" w:rsidP="00DA5D12">
      <w:pPr>
        <w:pStyle w:val="ListParagraph"/>
        <w:numPr>
          <w:ilvl w:val="0"/>
          <w:numId w:val="20"/>
        </w:numPr>
        <w:spacing w:after="240"/>
        <w:ind w:left="357" w:hanging="357"/>
        <w:contextualSpacing w:val="0"/>
        <w:rPr>
          <w:rFonts w:asciiTheme="majorHAnsi" w:hAnsiTheme="majorHAnsi" w:cstheme="majorHAnsi"/>
        </w:rPr>
      </w:pPr>
      <w:r w:rsidRPr="00167E94">
        <w:rPr>
          <w:rFonts w:asciiTheme="majorHAnsi" w:hAnsiTheme="majorHAnsi" w:cstheme="majorHAnsi"/>
          <w:b/>
          <w:bCs w:val="0"/>
        </w:rPr>
        <w:t>Follow-up</w:t>
      </w:r>
      <w:r w:rsidRPr="00167E94">
        <w:rPr>
          <w:rFonts w:asciiTheme="majorHAnsi" w:hAnsiTheme="majorHAnsi" w:cstheme="majorHAnsi"/>
        </w:rPr>
        <w:t xml:space="preserve"> - The lead researcher should track any instances of distress and ensure that the proper follow up has been completed. </w:t>
      </w:r>
      <w:bookmarkStart w:id="0" w:name="_Toc26256342"/>
    </w:p>
    <w:p w14:paraId="1BB7C397" w14:textId="77777777" w:rsidR="00DA5D12" w:rsidRPr="00167E94" w:rsidRDefault="00DA5D12" w:rsidP="00DA5D12">
      <w:pPr>
        <w:rPr>
          <w:rFonts w:asciiTheme="majorHAnsi" w:hAnsiTheme="majorHAnsi" w:cstheme="majorHAnsi"/>
        </w:rPr>
      </w:pPr>
      <w:r w:rsidRPr="00167E94">
        <w:rPr>
          <w:rFonts w:asciiTheme="majorHAnsi" w:hAnsiTheme="majorHAnsi" w:cstheme="majorHAnsi"/>
        </w:rPr>
        <w:t xml:space="preserve">The following strategies identify steps to be taken in the case of safety concerns or distress. The protocols have been adapted from </w:t>
      </w:r>
      <w:proofErr w:type="spellStart"/>
      <w:r w:rsidRPr="00167E94">
        <w:rPr>
          <w:rFonts w:asciiTheme="majorHAnsi" w:hAnsiTheme="majorHAnsi" w:cstheme="majorHAnsi"/>
        </w:rPr>
        <w:t>Draucker</w:t>
      </w:r>
      <w:proofErr w:type="spellEnd"/>
      <w:r w:rsidRPr="00167E94">
        <w:rPr>
          <w:rFonts w:asciiTheme="majorHAnsi" w:hAnsiTheme="majorHAnsi" w:cstheme="majorHAnsi"/>
        </w:rPr>
        <w:t xml:space="preserve">, </w:t>
      </w:r>
      <w:proofErr w:type="spellStart"/>
      <w:r w:rsidRPr="00167E94">
        <w:rPr>
          <w:rFonts w:asciiTheme="majorHAnsi" w:hAnsiTheme="majorHAnsi" w:cstheme="majorHAnsi"/>
        </w:rPr>
        <w:t>Martsolf</w:t>
      </w:r>
      <w:proofErr w:type="spellEnd"/>
      <w:r w:rsidRPr="00167E94">
        <w:rPr>
          <w:rFonts w:asciiTheme="majorHAnsi" w:hAnsiTheme="majorHAnsi" w:cstheme="majorHAnsi"/>
        </w:rPr>
        <w:t xml:space="preserve"> &amp; Poole (2009). The strategies empower participants to determine how they wish to proceed, as much is appropriate. </w:t>
      </w:r>
    </w:p>
    <w:p w14:paraId="73D739DD" w14:textId="77777777" w:rsidR="00DA5D12" w:rsidRPr="00167E94" w:rsidRDefault="00DA5D12" w:rsidP="00DA5D12">
      <w:pPr>
        <w:rPr>
          <w:rFonts w:asciiTheme="majorHAnsi" w:hAnsiTheme="majorHAnsi" w:cstheme="majorHAnsi"/>
        </w:rPr>
      </w:pPr>
    </w:p>
    <w:p w14:paraId="22D3D477" w14:textId="77777777" w:rsidR="00DA5D12" w:rsidRPr="00167E94" w:rsidRDefault="00DA5D12" w:rsidP="00DA5D12">
      <w:pPr>
        <w:pStyle w:val="Heading2"/>
        <w:rPr>
          <w:rFonts w:asciiTheme="majorHAnsi" w:hAnsiTheme="majorHAnsi" w:cstheme="majorHAnsi"/>
        </w:rPr>
      </w:pPr>
      <w:r w:rsidRPr="00167E94">
        <w:rPr>
          <w:rFonts w:asciiTheme="majorHAnsi" w:hAnsiTheme="majorHAnsi" w:cstheme="majorHAnsi"/>
        </w:rPr>
        <w:t xml:space="preserve">Participant Distress </w:t>
      </w:r>
      <w:bookmarkEnd w:id="0"/>
      <w:r w:rsidRPr="00167E94">
        <w:rPr>
          <w:rFonts w:asciiTheme="majorHAnsi" w:hAnsiTheme="majorHAnsi" w:cstheme="majorHAnsi"/>
        </w:rPr>
        <w:t>Protocol</w:t>
      </w:r>
    </w:p>
    <w:p w14:paraId="338A9267" w14:textId="77777777" w:rsidR="00DA5D12" w:rsidRPr="00167E94" w:rsidRDefault="00DA5D12" w:rsidP="00DA5D12">
      <w:pPr>
        <w:rPr>
          <w:rFonts w:asciiTheme="majorHAnsi" w:hAnsiTheme="majorHAnsi" w:cstheme="majorHAnsi"/>
        </w:rPr>
      </w:pPr>
      <w:r w:rsidRPr="00167E94">
        <w:rPr>
          <w:rFonts w:asciiTheme="majorHAnsi" w:hAnsiTheme="majorHAnsi" w:cstheme="majorHAnsi"/>
        </w:rPr>
        <w:t xml:space="preserve">The following protocol should be used in all engagements with participants. </w:t>
      </w:r>
    </w:p>
    <w:p w14:paraId="661F4398" w14:textId="77777777" w:rsidR="00DA5D12" w:rsidRPr="00167E94" w:rsidRDefault="00DA5D12" w:rsidP="00DA5D12">
      <w:pPr>
        <w:pStyle w:val="ListParagraph"/>
        <w:numPr>
          <w:ilvl w:val="0"/>
          <w:numId w:val="17"/>
        </w:numPr>
        <w:rPr>
          <w:rFonts w:asciiTheme="majorHAnsi" w:hAnsiTheme="majorHAnsi" w:cstheme="majorHAnsi"/>
        </w:rPr>
      </w:pPr>
      <w:r w:rsidRPr="00167E94">
        <w:rPr>
          <w:rFonts w:asciiTheme="majorHAnsi" w:hAnsiTheme="majorHAnsi" w:cstheme="majorHAnsi"/>
        </w:rPr>
        <w:t xml:space="preserve">The research team has a duty of reporting to local police or child protection services if violence or abuse involves a child. </w:t>
      </w:r>
    </w:p>
    <w:p w14:paraId="587117AD" w14:textId="77777777" w:rsidR="00DA5D12" w:rsidRPr="00167E94" w:rsidRDefault="00DA5D12" w:rsidP="00DA5D12">
      <w:pPr>
        <w:pStyle w:val="ListParagraph"/>
        <w:numPr>
          <w:ilvl w:val="0"/>
          <w:numId w:val="17"/>
        </w:numPr>
        <w:rPr>
          <w:rFonts w:asciiTheme="majorHAnsi" w:hAnsiTheme="majorHAnsi" w:cstheme="majorHAnsi"/>
        </w:rPr>
      </w:pPr>
      <w:r w:rsidRPr="00167E94">
        <w:rPr>
          <w:rFonts w:asciiTheme="majorHAnsi" w:hAnsiTheme="majorHAnsi" w:cstheme="majorHAnsi"/>
        </w:rPr>
        <w:t xml:space="preserve">The research team can only encourage women and men to report violence or abuse regarding an adult to a relevant support agency or the police. </w:t>
      </w:r>
    </w:p>
    <w:p w14:paraId="05A6328D" w14:textId="77777777" w:rsidR="00DA5D12" w:rsidRPr="00167E94" w:rsidRDefault="00DA5D12" w:rsidP="00DA5D12">
      <w:pPr>
        <w:pStyle w:val="ListParagraph"/>
        <w:numPr>
          <w:ilvl w:val="0"/>
          <w:numId w:val="17"/>
        </w:numPr>
        <w:rPr>
          <w:rFonts w:asciiTheme="majorHAnsi" w:hAnsiTheme="majorHAnsi" w:cstheme="majorHAnsi"/>
        </w:rPr>
      </w:pPr>
      <w:r w:rsidRPr="00167E94">
        <w:rPr>
          <w:rFonts w:asciiTheme="majorHAnsi" w:hAnsiTheme="majorHAnsi" w:cstheme="majorHAnsi"/>
        </w:rPr>
        <w:t xml:space="preserve">If the abuse is related to an individual with decreased capacity or mental illness, the team will follow the same protocol as for a child. </w:t>
      </w:r>
    </w:p>
    <w:p w14:paraId="53EDF183" w14:textId="77777777" w:rsidR="00DA5D12" w:rsidRPr="00167E94" w:rsidRDefault="00DA5D12" w:rsidP="00DA5D12">
      <w:pPr>
        <w:pStyle w:val="ListParagraph"/>
        <w:rPr>
          <w:rFonts w:asciiTheme="majorHAnsi" w:hAnsiTheme="majorHAnsi" w:cstheme="majorHAnsi"/>
        </w:rPr>
      </w:pPr>
    </w:p>
    <w:p w14:paraId="6A570175" w14:textId="77777777" w:rsidR="00DA5D12" w:rsidRDefault="00DA5D12" w:rsidP="00DA5D12">
      <w:pPr>
        <w:widowControl/>
        <w:spacing w:after="0" w:line="240" w:lineRule="auto"/>
        <w:rPr>
          <w:rFonts w:asciiTheme="majorHAnsi" w:hAnsiTheme="majorHAnsi" w:cstheme="majorHAnsi"/>
        </w:rPr>
      </w:pPr>
      <w:r>
        <w:rPr>
          <w:rFonts w:asciiTheme="majorHAnsi" w:hAnsiTheme="majorHAnsi" w:cstheme="majorHAnsi"/>
        </w:rPr>
        <w:br w:type="page"/>
      </w:r>
    </w:p>
    <w:p w14:paraId="26DFE1A9" w14:textId="77777777" w:rsidR="00DA5D12" w:rsidRPr="00167E94" w:rsidRDefault="00DA5D12" w:rsidP="00DA5D12">
      <w:pPr>
        <w:rPr>
          <w:rFonts w:asciiTheme="majorHAnsi" w:hAnsiTheme="majorHAnsi" w:cstheme="majorHAnsi"/>
        </w:rPr>
      </w:pPr>
      <w:r w:rsidRPr="00167E94">
        <w:rPr>
          <w:rFonts w:asciiTheme="majorHAnsi" w:hAnsiTheme="majorHAnsi" w:cstheme="majorHAnsi"/>
        </w:rPr>
        <w:lastRenderedPageBreak/>
        <w:t>In setting up all engagement, researchers should:</w:t>
      </w:r>
    </w:p>
    <w:p w14:paraId="75E0E968" w14:textId="77777777" w:rsidR="00DA5D12" w:rsidRPr="00167E94" w:rsidRDefault="00DA5D12" w:rsidP="00DA5D12">
      <w:pPr>
        <w:pStyle w:val="ListParagraph"/>
        <w:numPr>
          <w:ilvl w:val="0"/>
          <w:numId w:val="16"/>
        </w:numPr>
        <w:ind w:left="360"/>
        <w:rPr>
          <w:rFonts w:asciiTheme="majorHAnsi" w:hAnsiTheme="majorHAnsi" w:cstheme="majorHAnsi"/>
        </w:rPr>
      </w:pPr>
      <w:r w:rsidRPr="00167E94">
        <w:rPr>
          <w:rFonts w:asciiTheme="majorHAnsi" w:hAnsiTheme="majorHAnsi" w:cstheme="majorHAnsi"/>
          <w:b/>
          <w:bCs w:val="0"/>
        </w:rPr>
        <w:t>Provide an information sheet to participants.</w:t>
      </w:r>
      <w:r w:rsidRPr="00167E94">
        <w:rPr>
          <w:rFonts w:asciiTheme="majorHAnsi" w:hAnsiTheme="majorHAnsi" w:cstheme="majorHAnsi"/>
        </w:rPr>
        <w:t xml:space="preserve"> Prior to the commencement of any interview, activity or focus group, information regarding the services available should it be required will be provided to all prospective and actual study participants. </w:t>
      </w:r>
      <w:r>
        <w:rPr>
          <w:rFonts w:asciiTheme="majorHAnsi" w:hAnsiTheme="majorHAnsi" w:cstheme="majorHAnsi"/>
        </w:rPr>
        <w:t xml:space="preserve">It should be in the local language and be adapted for low level literacy contexts. This could even include pictures. </w:t>
      </w:r>
    </w:p>
    <w:p w14:paraId="506732E4" w14:textId="77777777" w:rsidR="00DA5D12" w:rsidRPr="00167E94" w:rsidRDefault="00DA5D12" w:rsidP="00DA5D12">
      <w:pPr>
        <w:pStyle w:val="ListParagraph"/>
        <w:ind w:left="360"/>
        <w:rPr>
          <w:rFonts w:asciiTheme="majorHAnsi" w:hAnsiTheme="majorHAnsi" w:cstheme="majorHAnsi"/>
        </w:rPr>
      </w:pPr>
    </w:p>
    <w:p w14:paraId="22183543" w14:textId="77777777" w:rsidR="00DA5D12" w:rsidRPr="00167E94" w:rsidRDefault="00DA5D12" w:rsidP="00DA5D12">
      <w:pPr>
        <w:pStyle w:val="ListParagraph"/>
        <w:numPr>
          <w:ilvl w:val="0"/>
          <w:numId w:val="16"/>
        </w:numPr>
        <w:ind w:left="360"/>
        <w:rPr>
          <w:rFonts w:asciiTheme="majorHAnsi" w:hAnsiTheme="majorHAnsi" w:cstheme="majorHAnsi"/>
        </w:rPr>
      </w:pPr>
      <w:r w:rsidRPr="00167E94">
        <w:rPr>
          <w:rFonts w:asciiTheme="majorHAnsi" w:hAnsiTheme="majorHAnsi" w:cstheme="majorHAnsi"/>
          <w:b/>
          <w:bCs w:val="0"/>
        </w:rPr>
        <w:t>Ensure participants understand the risks and benefits.</w:t>
      </w:r>
      <w:r w:rsidRPr="00167E94">
        <w:rPr>
          <w:rFonts w:asciiTheme="majorHAnsi" w:hAnsiTheme="majorHAnsi" w:cstheme="majorHAnsi"/>
        </w:rPr>
        <w:t xml:space="preserve"> The researcher and/or research team will provide sufficient information regarding the risks and benefits of the research so that individuals may freely accept or decline participation. This information will be made available to the participant prior to the interview commencing. An additional notification of this information will also be given to those participants should they become distressed during the actual study. </w:t>
      </w:r>
    </w:p>
    <w:p w14:paraId="15C01C6A" w14:textId="77777777" w:rsidR="00DA5D12" w:rsidRPr="00167E94" w:rsidRDefault="00DA5D12" w:rsidP="00DA5D12">
      <w:pPr>
        <w:rPr>
          <w:rFonts w:asciiTheme="majorHAnsi" w:hAnsiTheme="majorHAnsi" w:cstheme="majorHAnsi"/>
        </w:rPr>
      </w:pPr>
      <w:r w:rsidRPr="00167E94">
        <w:rPr>
          <w:rFonts w:asciiTheme="majorHAnsi" w:hAnsiTheme="majorHAnsi" w:cstheme="majorHAnsi"/>
        </w:rPr>
        <w:t xml:space="preserve">These are five possible distress or safety concerns that could arise during or after interviews and focus groups based on previous experiences with similar studies. Multiple concerns may surface at a single time. It should be noted that both men and women may experience distress. </w:t>
      </w:r>
    </w:p>
    <w:p w14:paraId="060ED685" w14:textId="77777777" w:rsidR="00DA5D12" w:rsidRPr="00167E94" w:rsidRDefault="00DA5D12" w:rsidP="00DA5D12">
      <w:pPr>
        <w:pStyle w:val="ListParagraph"/>
        <w:numPr>
          <w:ilvl w:val="0"/>
          <w:numId w:val="11"/>
        </w:numPr>
        <w:rPr>
          <w:rFonts w:asciiTheme="majorHAnsi" w:hAnsiTheme="majorHAnsi" w:cstheme="majorHAnsi"/>
        </w:rPr>
      </w:pPr>
      <w:r w:rsidRPr="00167E94">
        <w:rPr>
          <w:rFonts w:asciiTheme="majorHAnsi" w:hAnsiTheme="majorHAnsi" w:cstheme="majorHAnsi"/>
        </w:rPr>
        <w:t xml:space="preserve">Disclosure of violence or conflict </w:t>
      </w:r>
    </w:p>
    <w:p w14:paraId="02484ECA" w14:textId="77777777" w:rsidR="00DA5D12" w:rsidRPr="00167E94" w:rsidRDefault="00DA5D12" w:rsidP="00DA5D12">
      <w:pPr>
        <w:pStyle w:val="ListParagraph"/>
        <w:numPr>
          <w:ilvl w:val="0"/>
          <w:numId w:val="11"/>
        </w:numPr>
        <w:rPr>
          <w:rFonts w:asciiTheme="majorHAnsi" w:hAnsiTheme="majorHAnsi" w:cstheme="majorHAnsi"/>
        </w:rPr>
      </w:pPr>
      <w:r w:rsidRPr="00167E94">
        <w:rPr>
          <w:rFonts w:asciiTheme="majorHAnsi" w:hAnsiTheme="majorHAnsi" w:cstheme="majorHAnsi"/>
        </w:rPr>
        <w:t>Disclosure of violence or abuse of a child (under 18)</w:t>
      </w:r>
    </w:p>
    <w:p w14:paraId="2B033DC7" w14:textId="77777777" w:rsidR="00DA5D12" w:rsidRPr="00167E94" w:rsidRDefault="00DA5D12" w:rsidP="00DA5D12">
      <w:pPr>
        <w:pStyle w:val="ListParagraph"/>
        <w:numPr>
          <w:ilvl w:val="0"/>
          <w:numId w:val="11"/>
        </w:numPr>
        <w:rPr>
          <w:rFonts w:asciiTheme="majorHAnsi" w:hAnsiTheme="majorHAnsi" w:cstheme="majorHAnsi"/>
        </w:rPr>
      </w:pPr>
      <w:r w:rsidRPr="00167E94">
        <w:rPr>
          <w:rFonts w:asciiTheme="majorHAnsi" w:hAnsiTheme="majorHAnsi" w:cstheme="majorHAnsi"/>
        </w:rPr>
        <w:t>Feelings of incompetence or inadequacy</w:t>
      </w:r>
    </w:p>
    <w:p w14:paraId="3665BD15" w14:textId="77777777" w:rsidR="00DA5D12" w:rsidRPr="00167E94" w:rsidRDefault="00DA5D12" w:rsidP="00DA5D12">
      <w:pPr>
        <w:pStyle w:val="ListParagraph"/>
        <w:numPr>
          <w:ilvl w:val="0"/>
          <w:numId w:val="11"/>
        </w:numPr>
        <w:rPr>
          <w:rFonts w:asciiTheme="majorHAnsi" w:hAnsiTheme="majorHAnsi" w:cstheme="majorHAnsi"/>
        </w:rPr>
      </w:pPr>
      <w:r w:rsidRPr="00167E94">
        <w:rPr>
          <w:rFonts w:asciiTheme="majorHAnsi" w:hAnsiTheme="majorHAnsi" w:cstheme="majorHAnsi"/>
        </w:rPr>
        <w:t>Feelings of grief or anger</w:t>
      </w:r>
    </w:p>
    <w:p w14:paraId="7813AB89" w14:textId="77777777" w:rsidR="00DA5D12" w:rsidRPr="00167E94" w:rsidRDefault="00DA5D12" w:rsidP="00DA5D12">
      <w:pPr>
        <w:pStyle w:val="ListParagraph"/>
        <w:numPr>
          <w:ilvl w:val="0"/>
          <w:numId w:val="11"/>
        </w:numPr>
        <w:rPr>
          <w:rFonts w:asciiTheme="majorHAnsi" w:hAnsiTheme="majorHAnsi" w:cstheme="majorHAnsi"/>
        </w:rPr>
      </w:pPr>
      <w:r w:rsidRPr="00167E94">
        <w:rPr>
          <w:rFonts w:asciiTheme="majorHAnsi" w:hAnsiTheme="majorHAnsi" w:cstheme="majorHAnsi"/>
        </w:rPr>
        <w:t>Raised consciousness of ongoing hardships</w:t>
      </w:r>
    </w:p>
    <w:p w14:paraId="25A8AFF7" w14:textId="77777777" w:rsidR="00DA5D12" w:rsidRPr="00167E94" w:rsidRDefault="00DA5D12" w:rsidP="00DA5D12">
      <w:pPr>
        <w:pStyle w:val="ListParagraph"/>
        <w:numPr>
          <w:ilvl w:val="0"/>
          <w:numId w:val="11"/>
        </w:numPr>
        <w:rPr>
          <w:rFonts w:asciiTheme="majorHAnsi" w:hAnsiTheme="majorHAnsi" w:cstheme="majorHAnsi"/>
        </w:rPr>
      </w:pPr>
      <w:r w:rsidRPr="00167E94">
        <w:rPr>
          <w:rFonts w:asciiTheme="majorHAnsi" w:hAnsiTheme="majorHAnsi" w:cstheme="majorHAnsi"/>
        </w:rPr>
        <w:t>Raised consciousness of inequalities</w:t>
      </w:r>
    </w:p>
    <w:p w14:paraId="537360AF" w14:textId="77777777" w:rsidR="00DA5D12" w:rsidRPr="00167E94" w:rsidRDefault="00DA5D12" w:rsidP="00DA5D12">
      <w:pPr>
        <w:pStyle w:val="ListParagraph"/>
        <w:numPr>
          <w:ilvl w:val="0"/>
          <w:numId w:val="11"/>
        </w:numPr>
        <w:rPr>
          <w:rFonts w:asciiTheme="majorHAnsi" w:hAnsiTheme="majorHAnsi" w:cstheme="majorHAnsi"/>
        </w:rPr>
      </w:pPr>
      <w:r w:rsidRPr="00167E94">
        <w:rPr>
          <w:rFonts w:asciiTheme="majorHAnsi" w:hAnsiTheme="majorHAnsi" w:cstheme="majorHAnsi"/>
        </w:rPr>
        <w:t>Increased tension or conflict in home or workplace</w:t>
      </w:r>
    </w:p>
    <w:p w14:paraId="0C50FE22" w14:textId="77777777" w:rsidR="00DA5D12" w:rsidRPr="00F47069" w:rsidRDefault="00DA5D12" w:rsidP="00DA5D12">
      <w:pPr>
        <w:pStyle w:val="ListParagraph"/>
        <w:numPr>
          <w:ilvl w:val="0"/>
          <w:numId w:val="11"/>
        </w:numPr>
        <w:rPr>
          <w:rFonts w:asciiTheme="majorHAnsi" w:hAnsiTheme="majorHAnsi" w:cstheme="majorHAnsi"/>
        </w:rPr>
      </w:pPr>
      <w:r w:rsidRPr="00167E94">
        <w:rPr>
          <w:rFonts w:asciiTheme="majorHAnsi" w:hAnsiTheme="majorHAnsi" w:cstheme="majorHAnsi"/>
        </w:rPr>
        <w:t>Discontentment with current gender dynamics in home or workplace</w:t>
      </w:r>
    </w:p>
    <w:p w14:paraId="1A3208B0" w14:textId="77777777" w:rsidR="00DA5D12" w:rsidRPr="00167E94" w:rsidRDefault="00DA5D12" w:rsidP="00DA5D12">
      <w:pPr>
        <w:rPr>
          <w:rFonts w:asciiTheme="majorHAnsi" w:hAnsiTheme="majorHAnsi" w:cstheme="majorHAnsi"/>
        </w:rPr>
      </w:pPr>
      <w:r w:rsidRPr="00167E94">
        <w:rPr>
          <w:rFonts w:asciiTheme="majorHAnsi" w:hAnsiTheme="majorHAnsi" w:cstheme="majorHAnsi"/>
        </w:rPr>
        <w:t>→ If a participant experiences distress during the engagement, researchers should follow Table 1.</w:t>
      </w:r>
    </w:p>
    <w:p w14:paraId="0C841378" w14:textId="77777777" w:rsidR="00DA5D12" w:rsidRDefault="00DA5D12" w:rsidP="00DA5D12">
      <w:pPr>
        <w:rPr>
          <w:rFonts w:asciiTheme="majorHAnsi" w:hAnsiTheme="majorHAnsi" w:cstheme="majorHAnsi"/>
        </w:rPr>
      </w:pPr>
      <w:r w:rsidRPr="00167E94">
        <w:rPr>
          <w:rFonts w:asciiTheme="majorHAnsi" w:hAnsiTheme="majorHAnsi" w:cstheme="majorHAnsi"/>
        </w:rPr>
        <w:t xml:space="preserve">→ If a participant experiences distress after the research and contacts the team, researchers should follow Table 2. </w:t>
      </w:r>
    </w:p>
    <w:p w14:paraId="41EB99AB" w14:textId="77777777" w:rsidR="00DA5D12" w:rsidRPr="00F47069" w:rsidRDefault="00DA5D12" w:rsidP="00DA5D12">
      <w:pPr>
        <w:rPr>
          <w:rFonts w:asciiTheme="majorHAnsi" w:hAnsiTheme="majorHAnsi" w:cstheme="majorHAnsi"/>
          <w:sz w:val="6"/>
          <w:szCs w:val="6"/>
        </w:rPr>
      </w:pPr>
    </w:p>
    <w:p w14:paraId="0672FC02" w14:textId="77777777" w:rsidR="00DA5D12" w:rsidRPr="00167E94" w:rsidRDefault="00DA5D12" w:rsidP="00DA5D12">
      <w:pPr>
        <w:pStyle w:val="Heading2"/>
        <w:rPr>
          <w:rFonts w:asciiTheme="majorHAnsi" w:hAnsiTheme="majorHAnsi" w:cstheme="majorHAnsi"/>
        </w:rPr>
      </w:pPr>
      <w:bookmarkStart w:id="1" w:name="_Toc26256343"/>
      <w:r w:rsidRPr="00167E94">
        <w:rPr>
          <w:rFonts w:asciiTheme="majorHAnsi" w:hAnsiTheme="majorHAnsi" w:cstheme="majorHAnsi"/>
        </w:rPr>
        <w:t>Researcher Distress and Safety Protocol</w:t>
      </w:r>
      <w:bookmarkEnd w:id="1"/>
      <w:r w:rsidRPr="00167E94">
        <w:rPr>
          <w:rFonts w:asciiTheme="majorHAnsi" w:hAnsiTheme="majorHAnsi" w:cstheme="majorHAnsi"/>
        </w:rPr>
        <w:t xml:space="preserve"> </w:t>
      </w:r>
    </w:p>
    <w:p w14:paraId="043A85C3" w14:textId="77777777" w:rsidR="00DA5D12" w:rsidRPr="00167E94" w:rsidRDefault="00DA5D12" w:rsidP="00DA5D12">
      <w:pPr>
        <w:rPr>
          <w:rFonts w:asciiTheme="majorHAnsi" w:hAnsiTheme="majorHAnsi" w:cstheme="majorHAnsi"/>
        </w:rPr>
      </w:pPr>
      <w:r w:rsidRPr="00167E94">
        <w:rPr>
          <w:rFonts w:asciiTheme="majorHAnsi" w:hAnsiTheme="majorHAnsi" w:cstheme="majorHAnsi"/>
        </w:rPr>
        <w:t xml:space="preserve">The following protocol will be put in place should a researcher become distressed or be at risk during field work and require emergency, additional or on-going assistance. A range of services could be offered depending on the circumstances. </w:t>
      </w:r>
    </w:p>
    <w:p w14:paraId="542A43AF" w14:textId="77777777" w:rsidR="00DA5D12" w:rsidRPr="00167E94" w:rsidRDefault="00DA5D12" w:rsidP="00DA5D12">
      <w:pPr>
        <w:rPr>
          <w:rFonts w:asciiTheme="majorHAnsi" w:hAnsiTheme="majorHAnsi" w:cstheme="majorHAnsi"/>
        </w:rPr>
      </w:pPr>
      <w:r w:rsidRPr="00167E94">
        <w:rPr>
          <w:rFonts w:asciiTheme="majorHAnsi" w:hAnsiTheme="majorHAnsi" w:cstheme="majorHAnsi"/>
        </w:rPr>
        <w:t>There are pre-identified three safety and distress concerns for the research team as follow:</w:t>
      </w:r>
    </w:p>
    <w:p w14:paraId="7473731A" w14:textId="77777777" w:rsidR="00DA5D12" w:rsidRPr="00167E94" w:rsidRDefault="00DA5D12" w:rsidP="00DA5D12">
      <w:pPr>
        <w:widowControl/>
        <w:numPr>
          <w:ilvl w:val="0"/>
          <w:numId w:val="12"/>
        </w:numPr>
        <w:spacing w:after="0" w:line="240" w:lineRule="auto"/>
        <w:rPr>
          <w:rFonts w:asciiTheme="majorHAnsi" w:hAnsiTheme="majorHAnsi" w:cstheme="majorHAnsi"/>
        </w:rPr>
      </w:pPr>
      <w:r w:rsidRPr="00167E94">
        <w:rPr>
          <w:rFonts w:asciiTheme="majorHAnsi" w:hAnsiTheme="majorHAnsi" w:cstheme="majorHAnsi"/>
        </w:rPr>
        <w:t>Threat or physical danger</w:t>
      </w:r>
    </w:p>
    <w:p w14:paraId="0C13A72E" w14:textId="77777777" w:rsidR="00DA5D12" w:rsidRPr="00167E94" w:rsidRDefault="00DA5D12" w:rsidP="00DA5D12">
      <w:pPr>
        <w:widowControl/>
        <w:numPr>
          <w:ilvl w:val="0"/>
          <w:numId w:val="12"/>
        </w:numPr>
        <w:spacing w:after="0" w:line="240" w:lineRule="auto"/>
        <w:rPr>
          <w:rFonts w:asciiTheme="majorHAnsi" w:hAnsiTheme="majorHAnsi" w:cstheme="majorHAnsi"/>
        </w:rPr>
      </w:pPr>
      <w:r w:rsidRPr="00167E94">
        <w:rPr>
          <w:rFonts w:asciiTheme="majorHAnsi" w:hAnsiTheme="majorHAnsi" w:cstheme="majorHAnsi"/>
        </w:rPr>
        <w:t>Physical illness or accident</w:t>
      </w:r>
    </w:p>
    <w:p w14:paraId="69015791" w14:textId="77777777" w:rsidR="00DA5D12" w:rsidRPr="00167E94" w:rsidRDefault="00DA5D12" w:rsidP="00DA5D12">
      <w:pPr>
        <w:widowControl/>
        <w:numPr>
          <w:ilvl w:val="0"/>
          <w:numId w:val="12"/>
        </w:numPr>
        <w:spacing w:after="0" w:line="240" w:lineRule="auto"/>
        <w:rPr>
          <w:rFonts w:asciiTheme="majorHAnsi" w:hAnsiTheme="majorHAnsi" w:cstheme="majorHAnsi"/>
        </w:rPr>
      </w:pPr>
      <w:r w:rsidRPr="00167E94">
        <w:rPr>
          <w:rFonts w:asciiTheme="majorHAnsi" w:hAnsiTheme="majorHAnsi" w:cstheme="majorHAnsi"/>
        </w:rPr>
        <w:t xml:space="preserve">Feelings of anxiety or severe stress </w:t>
      </w:r>
    </w:p>
    <w:p w14:paraId="738936EE" w14:textId="77777777" w:rsidR="00DA5D12" w:rsidRPr="00167E94" w:rsidRDefault="00DA5D12" w:rsidP="00DA5D12">
      <w:pPr>
        <w:rPr>
          <w:rFonts w:asciiTheme="majorHAnsi" w:hAnsiTheme="majorHAnsi" w:cstheme="majorHAnsi"/>
          <w:b/>
          <w:bCs w:val="0"/>
        </w:rPr>
      </w:pPr>
    </w:p>
    <w:p w14:paraId="720D3FD2" w14:textId="77777777" w:rsidR="00DA5D12" w:rsidRPr="00167E94" w:rsidRDefault="00DA5D12" w:rsidP="00DA5D12">
      <w:pPr>
        <w:pBdr>
          <w:bottom w:val="single" w:sz="6" w:space="1" w:color="auto"/>
        </w:pBdr>
        <w:rPr>
          <w:rFonts w:asciiTheme="majorHAnsi" w:hAnsiTheme="majorHAnsi" w:cstheme="majorHAnsi"/>
        </w:rPr>
      </w:pPr>
      <w:r w:rsidRPr="00167E94">
        <w:rPr>
          <w:rFonts w:asciiTheme="majorHAnsi" w:hAnsiTheme="majorHAnsi" w:cstheme="majorHAnsi"/>
        </w:rPr>
        <w:t>To mitigate these risks, the research team should have regular team debrief meetings. These meetings will include discussions about mental health and mitigation of any risks. Each member of the research team should carry an emergency contact list with nearby approved hospitals and vehicles should all have a basic first aid kit.</w:t>
      </w:r>
    </w:p>
    <w:p w14:paraId="015642C5" w14:textId="77777777" w:rsidR="00DA5D12" w:rsidRDefault="00DA5D12" w:rsidP="00DA5D12">
      <w:pPr>
        <w:pBdr>
          <w:bottom w:val="single" w:sz="6" w:space="1" w:color="auto"/>
        </w:pBdr>
        <w:rPr>
          <w:rFonts w:asciiTheme="majorHAnsi" w:hAnsiTheme="majorHAnsi" w:cstheme="majorHAnsi"/>
        </w:rPr>
      </w:pPr>
      <w:r w:rsidRPr="00167E94">
        <w:rPr>
          <w:rFonts w:asciiTheme="majorHAnsi" w:hAnsiTheme="majorHAnsi" w:cstheme="majorHAnsi"/>
        </w:rPr>
        <w:t>→ If researchers experience distress during the engagement, follow Table 3.</w:t>
      </w:r>
    </w:p>
    <w:p w14:paraId="654C2D32" w14:textId="77777777" w:rsidR="00DA5D12" w:rsidRPr="00167E94" w:rsidRDefault="00DA5D12" w:rsidP="00DA5D12">
      <w:pPr>
        <w:pBdr>
          <w:bottom w:val="single" w:sz="6" w:space="1" w:color="auto"/>
        </w:pBdr>
        <w:rPr>
          <w:rFonts w:asciiTheme="majorHAnsi" w:hAnsiTheme="majorHAnsi" w:cstheme="majorHAnsi"/>
        </w:rPr>
      </w:pPr>
    </w:p>
    <w:p w14:paraId="366EC8C2" w14:textId="77777777" w:rsidR="00DA5D12" w:rsidRPr="00167E94" w:rsidRDefault="00DA5D12" w:rsidP="00DA5D12">
      <w:pPr>
        <w:pStyle w:val="Heading2"/>
        <w:rPr>
          <w:rFonts w:asciiTheme="majorHAnsi" w:hAnsiTheme="majorHAnsi" w:cstheme="majorHAnsi"/>
        </w:rPr>
      </w:pPr>
      <w:r w:rsidRPr="00167E94">
        <w:rPr>
          <w:rFonts w:asciiTheme="majorHAnsi" w:hAnsiTheme="majorHAnsi" w:cstheme="majorHAnsi"/>
        </w:rPr>
        <w:lastRenderedPageBreak/>
        <w:t>Further reading</w:t>
      </w:r>
    </w:p>
    <w:p w14:paraId="53188781" w14:textId="77777777" w:rsidR="00DA5D12" w:rsidRPr="00F47069" w:rsidRDefault="00DA5D12" w:rsidP="00DA5D12">
      <w:pPr>
        <w:rPr>
          <w:rFonts w:asciiTheme="majorHAnsi" w:hAnsiTheme="majorHAnsi" w:cstheme="majorHAnsi"/>
          <w:sz w:val="18"/>
          <w:szCs w:val="18"/>
        </w:rPr>
      </w:pPr>
      <w:proofErr w:type="spellStart"/>
      <w:r w:rsidRPr="00F47069">
        <w:rPr>
          <w:rFonts w:asciiTheme="majorHAnsi" w:hAnsiTheme="majorHAnsi" w:cstheme="majorHAnsi"/>
          <w:sz w:val="18"/>
          <w:szCs w:val="18"/>
        </w:rPr>
        <w:t>Draucker</w:t>
      </w:r>
      <w:proofErr w:type="spellEnd"/>
      <w:r w:rsidRPr="00F47069">
        <w:rPr>
          <w:rFonts w:asciiTheme="majorHAnsi" w:hAnsiTheme="majorHAnsi" w:cstheme="majorHAnsi"/>
          <w:sz w:val="18"/>
          <w:szCs w:val="18"/>
        </w:rPr>
        <w:t xml:space="preserve"> C B, </w:t>
      </w:r>
      <w:proofErr w:type="spellStart"/>
      <w:r w:rsidRPr="00F47069">
        <w:rPr>
          <w:rFonts w:asciiTheme="majorHAnsi" w:hAnsiTheme="majorHAnsi" w:cstheme="majorHAnsi"/>
          <w:sz w:val="18"/>
          <w:szCs w:val="18"/>
        </w:rPr>
        <w:t>Martsolf</w:t>
      </w:r>
      <w:proofErr w:type="spellEnd"/>
      <w:r w:rsidRPr="00F47069">
        <w:rPr>
          <w:rFonts w:asciiTheme="majorHAnsi" w:hAnsiTheme="majorHAnsi" w:cstheme="majorHAnsi"/>
          <w:sz w:val="18"/>
          <w:szCs w:val="18"/>
        </w:rPr>
        <w:t xml:space="preserve"> D S and Poole C (2009) Developing Distress Protocols for research on Sensitive Topics. </w:t>
      </w:r>
      <w:r w:rsidRPr="00F47069">
        <w:rPr>
          <w:rFonts w:asciiTheme="majorHAnsi" w:hAnsiTheme="majorHAnsi" w:cstheme="majorHAnsi"/>
          <w:i/>
          <w:iCs/>
          <w:sz w:val="18"/>
          <w:szCs w:val="18"/>
        </w:rPr>
        <w:t xml:space="preserve">Archives of Psychiatric Nursing </w:t>
      </w:r>
      <w:r w:rsidRPr="00F47069">
        <w:rPr>
          <w:rFonts w:asciiTheme="majorHAnsi" w:hAnsiTheme="majorHAnsi" w:cstheme="majorHAnsi"/>
          <w:sz w:val="18"/>
          <w:szCs w:val="18"/>
        </w:rPr>
        <w:t>23 (5) pp 343-350)</w:t>
      </w:r>
    </w:p>
    <w:p w14:paraId="6F132F36" w14:textId="77777777" w:rsidR="00DA5D12" w:rsidRPr="00F47069" w:rsidRDefault="00DA5D12" w:rsidP="00DA5D12">
      <w:pPr>
        <w:spacing w:before="120" w:after="240"/>
        <w:rPr>
          <w:rFonts w:asciiTheme="majorHAnsi" w:hAnsiTheme="majorHAnsi" w:cstheme="majorHAnsi"/>
          <w:sz w:val="18"/>
          <w:szCs w:val="18"/>
        </w:rPr>
      </w:pPr>
      <w:r w:rsidRPr="00F47069">
        <w:rPr>
          <w:rFonts w:asciiTheme="majorHAnsi" w:hAnsiTheme="majorHAnsi" w:cstheme="majorHAnsi"/>
          <w:sz w:val="18"/>
          <w:szCs w:val="18"/>
        </w:rPr>
        <w:t xml:space="preserve">House, S., Ferron, S., Sommer, M., and </w:t>
      </w:r>
      <w:proofErr w:type="spellStart"/>
      <w:r w:rsidRPr="00F47069">
        <w:rPr>
          <w:rFonts w:asciiTheme="majorHAnsi" w:hAnsiTheme="majorHAnsi" w:cstheme="majorHAnsi"/>
          <w:sz w:val="18"/>
          <w:szCs w:val="18"/>
        </w:rPr>
        <w:t>Cavill</w:t>
      </w:r>
      <w:proofErr w:type="spellEnd"/>
      <w:r w:rsidRPr="00F47069">
        <w:rPr>
          <w:rFonts w:asciiTheme="majorHAnsi" w:hAnsiTheme="majorHAnsi" w:cstheme="majorHAnsi"/>
          <w:sz w:val="18"/>
          <w:szCs w:val="18"/>
        </w:rPr>
        <w:t>, S., 2014. Violence, Gender &amp; WASH. A Practitioner’s Toolkit - Making water, sanitation and hygiene safer through improved programming and services. London: WaterAid/ SHARE.</w:t>
      </w:r>
    </w:p>
    <w:p w14:paraId="4E07122B" w14:textId="77777777" w:rsidR="00DA5D12" w:rsidRPr="00F47069" w:rsidRDefault="00DA5D12" w:rsidP="00DA5D12">
      <w:pPr>
        <w:spacing w:before="120" w:after="240"/>
        <w:rPr>
          <w:rFonts w:asciiTheme="majorHAnsi" w:hAnsiTheme="majorHAnsi" w:cstheme="majorHAnsi"/>
          <w:sz w:val="18"/>
          <w:szCs w:val="18"/>
        </w:rPr>
      </w:pPr>
      <w:r w:rsidRPr="00F47069">
        <w:rPr>
          <w:rFonts w:asciiTheme="majorHAnsi" w:hAnsiTheme="majorHAnsi" w:cstheme="majorHAnsi"/>
          <w:sz w:val="18"/>
          <w:szCs w:val="18"/>
        </w:rPr>
        <w:t xml:space="preserve">IWDA, 2018. Do no harm toolkit: integrating the elimination of violence against women into women’s economic empowerment programs. Melbourne, Australia: IWDA. </w:t>
      </w:r>
      <w:hyperlink r:id="rId14" w:history="1">
        <w:r w:rsidRPr="00F47069">
          <w:rPr>
            <w:rStyle w:val="Hyperlink"/>
            <w:rFonts w:asciiTheme="majorHAnsi" w:hAnsiTheme="majorHAnsi" w:cstheme="majorHAnsi"/>
            <w:sz w:val="18"/>
            <w:szCs w:val="18"/>
          </w:rPr>
          <w:t>https://iwda.org.au/resource/do-no-harm-toolkit/</w:t>
        </w:r>
      </w:hyperlink>
    </w:p>
    <w:p w14:paraId="0050D6AA" w14:textId="77777777" w:rsidR="00DA5D12" w:rsidRPr="00F47069" w:rsidRDefault="00DA5D12" w:rsidP="00DA5D12">
      <w:pPr>
        <w:spacing w:before="120" w:after="240"/>
        <w:rPr>
          <w:rFonts w:asciiTheme="majorHAnsi" w:hAnsiTheme="majorHAnsi" w:cstheme="majorHAnsi"/>
          <w:sz w:val="18"/>
          <w:szCs w:val="18"/>
        </w:rPr>
      </w:pPr>
      <w:r w:rsidRPr="00F47069">
        <w:rPr>
          <w:rFonts w:asciiTheme="majorHAnsi" w:hAnsiTheme="majorHAnsi" w:cstheme="majorHAnsi"/>
          <w:sz w:val="18"/>
          <w:szCs w:val="18"/>
        </w:rPr>
        <w:t>SNV, 2019. SNV’s approach to ‘Do No Harm’: Bhutan [Practice Brief]. The Hague: SNV</w:t>
      </w:r>
    </w:p>
    <w:p w14:paraId="3847DF78" w14:textId="77777777" w:rsidR="00DA5D12" w:rsidRPr="00167E94" w:rsidRDefault="00DA5D12" w:rsidP="00DA5D12">
      <w:pPr>
        <w:rPr>
          <w:rFonts w:asciiTheme="majorHAnsi" w:hAnsiTheme="majorHAnsi" w:cstheme="majorHAnsi"/>
        </w:rPr>
      </w:pPr>
    </w:p>
    <w:p w14:paraId="3854E2C6" w14:textId="77777777" w:rsidR="00DA5D12" w:rsidRPr="00167E94" w:rsidRDefault="00DA5D12" w:rsidP="00DA5D12">
      <w:pPr>
        <w:rPr>
          <w:rFonts w:asciiTheme="majorHAnsi" w:hAnsiTheme="majorHAnsi" w:cstheme="majorHAnsi"/>
        </w:rPr>
        <w:sectPr w:rsidR="00DA5D12" w:rsidRPr="00167E94" w:rsidSect="00277FEA">
          <w:footerReference w:type="even" r:id="rId15"/>
          <w:footerReference w:type="default" r:id="rId16"/>
          <w:pgSz w:w="12240" w:h="15840"/>
          <w:pgMar w:top="1440" w:right="1440" w:bottom="1440" w:left="1440" w:header="720" w:footer="720" w:gutter="0"/>
          <w:cols w:space="720"/>
          <w:docGrid w:linePitch="360"/>
        </w:sectPr>
      </w:pPr>
    </w:p>
    <w:p w14:paraId="2B8CA889" w14:textId="77777777" w:rsidR="00DA5D12" w:rsidRDefault="00DA5D12" w:rsidP="00DA5D12">
      <w:pPr>
        <w:pStyle w:val="Heading2"/>
        <w:rPr>
          <w:rFonts w:asciiTheme="majorHAnsi" w:hAnsiTheme="majorHAnsi" w:cstheme="majorHAnsi"/>
        </w:rPr>
      </w:pPr>
      <w:r w:rsidRPr="00167E94">
        <w:rPr>
          <w:rFonts w:asciiTheme="majorHAnsi" w:hAnsiTheme="majorHAnsi" w:cstheme="majorHAnsi"/>
        </w:rPr>
        <w:lastRenderedPageBreak/>
        <w:t>Table 1. Participant Distress During Engagement – Distress Protocol</w:t>
      </w:r>
    </w:p>
    <w:p w14:paraId="4E2A6B1B" w14:textId="77777777" w:rsidR="00DA5D12" w:rsidRPr="00F47069" w:rsidRDefault="00DA5D12" w:rsidP="00DA5D12">
      <w:r>
        <w:t>Adapted from</w:t>
      </w:r>
      <w:r w:rsidRPr="00CA31EE">
        <w:rPr>
          <w:rFonts w:asciiTheme="majorHAnsi" w:hAnsiTheme="majorHAnsi" w:cstheme="majorHAnsi"/>
        </w:rPr>
        <w:t xml:space="preserve"> </w:t>
      </w:r>
      <w:proofErr w:type="spellStart"/>
      <w:r w:rsidRPr="00167E94">
        <w:rPr>
          <w:rFonts w:asciiTheme="majorHAnsi" w:hAnsiTheme="majorHAnsi" w:cstheme="majorHAnsi"/>
        </w:rPr>
        <w:t>Draucker</w:t>
      </w:r>
      <w:proofErr w:type="spellEnd"/>
      <w:r w:rsidRPr="00167E94">
        <w:rPr>
          <w:rFonts w:asciiTheme="majorHAnsi" w:hAnsiTheme="majorHAnsi" w:cstheme="majorHAnsi"/>
        </w:rPr>
        <w:t xml:space="preserve">, </w:t>
      </w:r>
      <w:proofErr w:type="spellStart"/>
      <w:r w:rsidRPr="00167E94">
        <w:rPr>
          <w:rFonts w:asciiTheme="majorHAnsi" w:hAnsiTheme="majorHAnsi" w:cstheme="majorHAnsi"/>
        </w:rPr>
        <w:t>Martsolf</w:t>
      </w:r>
      <w:proofErr w:type="spellEnd"/>
      <w:r w:rsidRPr="00167E94">
        <w:rPr>
          <w:rFonts w:asciiTheme="majorHAnsi" w:hAnsiTheme="majorHAnsi" w:cstheme="majorHAnsi"/>
        </w:rPr>
        <w:t xml:space="preserve"> &amp; Poole (2009)</w:t>
      </w:r>
      <w:r>
        <w:rPr>
          <w:rFonts w:asciiTheme="majorHAnsi" w:hAnsiTheme="majorHAnsi" w:cstheme="majorHAnsi"/>
        </w:rPr>
        <w:t>.</w:t>
      </w:r>
    </w:p>
    <w:tbl>
      <w:tblPr>
        <w:tblStyle w:val="TableGrid"/>
        <w:tblW w:w="5607" w:type="pct"/>
        <w:jc w:val="center"/>
        <w:tblLook w:val="04A0" w:firstRow="1" w:lastRow="0" w:firstColumn="1" w:lastColumn="0" w:noHBand="0" w:noVBand="1"/>
      </w:tblPr>
      <w:tblGrid>
        <w:gridCol w:w="1908"/>
        <w:gridCol w:w="2579"/>
        <w:gridCol w:w="3163"/>
        <w:gridCol w:w="2692"/>
        <w:gridCol w:w="985"/>
        <w:gridCol w:w="3195"/>
      </w:tblGrid>
      <w:tr w:rsidR="00DA5D12" w:rsidRPr="00167E94" w14:paraId="0F711B93" w14:textId="77777777" w:rsidTr="00672DC2">
        <w:trPr>
          <w:trHeight w:val="462"/>
          <w:jc w:val="center"/>
        </w:trPr>
        <w:tc>
          <w:tcPr>
            <w:tcW w:w="1545" w:type="pct"/>
            <w:gridSpan w:val="2"/>
            <w:shd w:val="clear" w:color="auto" w:fill="EFEFEF" w:themeFill="background2" w:themeFillTint="33"/>
            <w:vAlign w:val="center"/>
          </w:tcPr>
          <w:p w14:paraId="4C5BD4C2"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Participant Concern or Distress</w:t>
            </w:r>
          </w:p>
        </w:tc>
        <w:tc>
          <w:tcPr>
            <w:tcW w:w="1089" w:type="pct"/>
            <w:shd w:val="clear" w:color="auto" w:fill="EFEFEF" w:themeFill="background2" w:themeFillTint="33"/>
            <w:vAlign w:val="center"/>
          </w:tcPr>
          <w:p w14:paraId="79FDEA2B"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Strategy 1 </w:t>
            </w:r>
            <w:r w:rsidRPr="00167E94">
              <w:rPr>
                <w:rFonts w:asciiTheme="majorHAnsi" w:hAnsiTheme="majorHAnsi" w:cstheme="majorHAnsi"/>
                <w:sz w:val="18"/>
                <w:szCs w:val="18"/>
              </w:rPr>
              <w:sym w:font="Wingdings" w:char="F0E0"/>
            </w:r>
          </w:p>
        </w:tc>
        <w:tc>
          <w:tcPr>
            <w:tcW w:w="927" w:type="pct"/>
            <w:shd w:val="clear" w:color="auto" w:fill="EFEFEF" w:themeFill="background2" w:themeFillTint="33"/>
            <w:vAlign w:val="center"/>
          </w:tcPr>
          <w:p w14:paraId="1D0D6FB4"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Evaluate </w:t>
            </w:r>
            <w:r w:rsidRPr="00167E94">
              <w:rPr>
                <w:rFonts w:asciiTheme="majorHAnsi" w:hAnsiTheme="majorHAnsi" w:cstheme="majorHAnsi"/>
                <w:sz w:val="18"/>
                <w:szCs w:val="18"/>
              </w:rPr>
              <w:sym w:font="Wingdings" w:char="F0E0"/>
            </w:r>
          </w:p>
        </w:tc>
        <w:tc>
          <w:tcPr>
            <w:tcW w:w="339" w:type="pct"/>
            <w:shd w:val="clear" w:color="auto" w:fill="EFEFEF" w:themeFill="background2" w:themeFillTint="33"/>
            <w:vAlign w:val="center"/>
          </w:tcPr>
          <w:p w14:paraId="27831E70"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Strategy 2 </w:t>
            </w:r>
            <w:r w:rsidRPr="00167E94">
              <w:rPr>
                <w:rFonts w:asciiTheme="majorHAnsi" w:hAnsiTheme="majorHAnsi" w:cstheme="majorHAnsi"/>
                <w:sz w:val="18"/>
                <w:szCs w:val="18"/>
              </w:rPr>
              <w:sym w:font="Wingdings" w:char="F0E0"/>
            </w:r>
          </w:p>
        </w:tc>
        <w:tc>
          <w:tcPr>
            <w:tcW w:w="1100" w:type="pct"/>
            <w:shd w:val="clear" w:color="auto" w:fill="EFEFEF" w:themeFill="background2" w:themeFillTint="33"/>
            <w:vAlign w:val="center"/>
          </w:tcPr>
          <w:p w14:paraId="6C33848E"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Evaluate</w:t>
            </w:r>
          </w:p>
        </w:tc>
      </w:tr>
      <w:tr w:rsidR="00DA5D12" w:rsidRPr="00167E94" w14:paraId="3233CAE4" w14:textId="77777777" w:rsidTr="00672DC2">
        <w:trPr>
          <w:trHeight w:val="259"/>
          <w:jc w:val="center"/>
        </w:trPr>
        <w:tc>
          <w:tcPr>
            <w:tcW w:w="657" w:type="pct"/>
            <w:vAlign w:val="center"/>
          </w:tcPr>
          <w:p w14:paraId="013B7DBE"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Disclosure of violence (adult)</w:t>
            </w:r>
          </w:p>
        </w:tc>
        <w:tc>
          <w:tcPr>
            <w:tcW w:w="888" w:type="pct"/>
            <w:vAlign w:val="center"/>
          </w:tcPr>
          <w:p w14:paraId="6253A35C"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A participant indicates a child experienced or is at risk of violence or any other illegal treatment</w:t>
            </w:r>
          </w:p>
        </w:tc>
        <w:tc>
          <w:tcPr>
            <w:tcW w:w="1089" w:type="pct"/>
            <w:vAlign w:val="center"/>
          </w:tcPr>
          <w:p w14:paraId="3DAEE940"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Pause the discussion/interview.</w:t>
            </w:r>
          </w:p>
          <w:p w14:paraId="7A36FF9B"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lang w:val="en-AU"/>
              </w:rPr>
              <w:t>Remove participant from discussion and accompany to quiet area for the following questions: Tell me what thoughts you are having? Tell me what you are feeling right now? Do you feel you are able to go on about your day? Do you feel safe?</w:t>
            </w:r>
            <w:r>
              <w:rPr>
                <w:rFonts w:asciiTheme="majorHAnsi" w:hAnsiTheme="majorHAnsi" w:cstheme="majorHAnsi"/>
                <w:sz w:val="18"/>
                <w:szCs w:val="18"/>
                <w:lang w:val="en-AU"/>
              </w:rPr>
              <w:t xml:space="preserve"> Do you have someone you can talk to/someone who can support you?</w:t>
            </w:r>
          </w:p>
          <w:p w14:paraId="2AF8E8D4"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 xml:space="preserve">Inform the participant that the research team will need to contact </w:t>
            </w:r>
            <w:r w:rsidRPr="00167E94">
              <w:rPr>
                <w:rFonts w:asciiTheme="majorHAnsi" w:hAnsiTheme="majorHAnsi" w:cstheme="majorHAnsi"/>
                <w:color w:val="1A58A8" w:themeColor="accent1"/>
                <w:sz w:val="18"/>
                <w:szCs w:val="18"/>
                <w:lang w:val="en-AU"/>
              </w:rPr>
              <w:t xml:space="preserve">the local police </w:t>
            </w:r>
            <w:r w:rsidRPr="00167E94">
              <w:rPr>
                <w:rFonts w:asciiTheme="majorHAnsi" w:hAnsiTheme="majorHAnsi" w:cstheme="majorHAnsi"/>
                <w:b/>
                <w:color w:val="1A58A8" w:themeColor="accent1"/>
                <w:sz w:val="18"/>
                <w:szCs w:val="18"/>
                <w:lang w:val="en-AU"/>
              </w:rPr>
              <w:t>OR</w:t>
            </w:r>
            <w:r w:rsidRPr="00167E94">
              <w:rPr>
                <w:rFonts w:asciiTheme="majorHAnsi" w:hAnsiTheme="majorHAnsi" w:cstheme="majorHAnsi"/>
                <w:color w:val="1A58A8" w:themeColor="accent1"/>
                <w:sz w:val="18"/>
                <w:szCs w:val="18"/>
                <w:lang w:val="en-AU"/>
              </w:rPr>
              <w:t xml:space="preserve"> child protection committee.</w:t>
            </w:r>
          </w:p>
        </w:tc>
        <w:tc>
          <w:tcPr>
            <w:tcW w:w="927" w:type="pct"/>
            <w:vAlign w:val="center"/>
          </w:tcPr>
          <w:p w14:paraId="2A08C8E3"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If participant feels able to carry on, resume interview/discussion.</w:t>
            </w:r>
          </w:p>
          <w:p w14:paraId="2E0F64F6" w14:textId="77777777" w:rsidR="00DA5D12" w:rsidRPr="00167E94" w:rsidRDefault="00DA5D12" w:rsidP="00672DC2">
            <w:pPr>
              <w:spacing w:after="0"/>
              <w:rPr>
                <w:rFonts w:asciiTheme="majorHAnsi" w:hAnsiTheme="majorHAnsi" w:cstheme="majorHAnsi"/>
                <w:sz w:val="18"/>
                <w:szCs w:val="18"/>
                <w:lang w:val="en-AU"/>
              </w:rPr>
            </w:pPr>
          </w:p>
          <w:p w14:paraId="1FA1098F"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If participant is unable to carry on, stop the discussion/ interview.</w:t>
            </w:r>
          </w:p>
        </w:tc>
        <w:tc>
          <w:tcPr>
            <w:tcW w:w="339" w:type="pct"/>
            <w:vAlign w:val="center"/>
          </w:tcPr>
          <w:p w14:paraId="7FF884C4"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n/a</w:t>
            </w:r>
          </w:p>
        </w:tc>
        <w:tc>
          <w:tcPr>
            <w:tcW w:w="1100" w:type="pct"/>
            <w:vAlign w:val="center"/>
          </w:tcPr>
          <w:p w14:paraId="7C0A60E4"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Encourage the participant to call either if he/she experiences increased distress in the hours/days following the focus group</w:t>
            </w:r>
          </w:p>
          <w:p w14:paraId="3533F740"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OR </w:t>
            </w:r>
          </w:p>
          <w:p w14:paraId="25A125CC"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rPr>
              <w:t xml:space="preserve">Encourage participant to seek help through a local support network </w:t>
            </w:r>
          </w:p>
        </w:tc>
      </w:tr>
      <w:tr w:rsidR="00DA5D12" w:rsidRPr="00167E94" w14:paraId="7CAF1F0E" w14:textId="77777777" w:rsidTr="00672DC2">
        <w:trPr>
          <w:trHeight w:val="259"/>
          <w:jc w:val="center"/>
        </w:trPr>
        <w:tc>
          <w:tcPr>
            <w:tcW w:w="657" w:type="pct"/>
            <w:vAlign w:val="center"/>
          </w:tcPr>
          <w:p w14:paraId="07FB671F"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Disclosure of violence (adult)</w:t>
            </w:r>
          </w:p>
        </w:tc>
        <w:tc>
          <w:tcPr>
            <w:tcW w:w="888" w:type="pct"/>
            <w:vAlign w:val="center"/>
          </w:tcPr>
          <w:p w14:paraId="52AFBF04"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A participant indicates they have (or someone in their home/community has) experienced gender-based violence or any other illegal treatment</w:t>
            </w:r>
          </w:p>
          <w:p w14:paraId="3B3FE37B"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OR </w:t>
            </w:r>
          </w:p>
          <w:p w14:paraId="1D06B629" w14:textId="77777777" w:rsidR="00DA5D12" w:rsidRPr="00167E94" w:rsidRDefault="00DA5D12" w:rsidP="00672DC2">
            <w:pPr>
              <w:spacing w:after="0"/>
              <w:rPr>
                <w:rFonts w:asciiTheme="majorHAnsi" w:hAnsiTheme="majorHAnsi" w:cstheme="majorHAnsi"/>
                <w:b/>
                <w:sz w:val="18"/>
                <w:szCs w:val="18"/>
              </w:rPr>
            </w:pPr>
            <w:r w:rsidRPr="00167E94">
              <w:rPr>
                <w:rFonts w:asciiTheme="majorHAnsi" w:hAnsiTheme="majorHAnsi" w:cstheme="majorHAnsi"/>
                <w:sz w:val="18"/>
                <w:szCs w:val="18"/>
                <w:lang w:val="en-AU"/>
              </w:rPr>
              <w:t>A participant indicates that they or someone in their home or community is at risk of gender-based violence or any other illegal treatment</w:t>
            </w:r>
          </w:p>
        </w:tc>
        <w:tc>
          <w:tcPr>
            <w:tcW w:w="1089" w:type="pct"/>
            <w:vAlign w:val="center"/>
          </w:tcPr>
          <w:p w14:paraId="2586F985"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Pause the discussion/interview.</w:t>
            </w:r>
          </w:p>
          <w:p w14:paraId="461F26C0"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lang w:val="en-AU"/>
              </w:rPr>
              <w:t>Remove participant from discussion and accompany to quiet area for the following questions: Tell me what thoughts you are having? Tell me what you are feeling right now? Do you feel you are able to go on about your day? Do you feel safe?</w:t>
            </w:r>
            <w:r>
              <w:rPr>
                <w:rFonts w:asciiTheme="majorHAnsi" w:hAnsiTheme="majorHAnsi" w:cstheme="majorHAnsi"/>
                <w:sz w:val="18"/>
                <w:szCs w:val="18"/>
                <w:lang w:val="en-AU"/>
              </w:rPr>
              <w:t xml:space="preserve"> Do you have someone you can talk to/someone who can support you?</w:t>
            </w:r>
          </w:p>
          <w:p w14:paraId="341E7FDF"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 xml:space="preserve">Encourage the participant to contact </w:t>
            </w:r>
            <w:r w:rsidRPr="00167E94">
              <w:rPr>
                <w:rFonts w:asciiTheme="majorHAnsi" w:hAnsiTheme="majorHAnsi" w:cstheme="majorHAnsi"/>
                <w:color w:val="1A58A8" w:themeColor="accent1"/>
                <w:sz w:val="18"/>
                <w:szCs w:val="18"/>
                <w:lang w:val="en-AU"/>
              </w:rPr>
              <w:t xml:space="preserve">their local support network </w:t>
            </w:r>
            <w:r w:rsidRPr="00167E94">
              <w:rPr>
                <w:rFonts w:asciiTheme="majorHAnsi" w:hAnsiTheme="majorHAnsi" w:cstheme="majorHAnsi"/>
                <w:b/>
                <w:color w:val="1A58A8" w:themeColor="accent1"/>
                <w:sz w:val="18"/>
                <w:szCs w:val="18"/>
                <w:lang w:val="en-AU"/>
              </w:rPr>
              <w:t>OR</w:t>
            </w:r>
            <w:r w:rsidRPr="00167E94">
              <w:rPr>
                <w:rFonts w:asciiTheme="majorHAnsi" w:hAnsiTheme="majorHAnsi" w:cstheme="majorHAnsi"/>
                <w:color w:val="1A58A8" w:themeColor="accent1"/>
                <w:sz w:val="18"/>
                <w:szCs w:val="18"/>
                <w:lang w:val="en-AU"/>
              </w:rPr>
              <w:t xml:space="preserve"> </w:t>
            </w:r>
            <w:r w:rsidRPr="00167E94">
              <w:rPr>
                <w:rFonts w:asciiTheme="majorHAnsi" w:hAnsiTheme="majorHAnsi" w:cstheme="majorHAnsi"/>
                <w:sz w:val="18"/>
                <w:szCs w:val="18"/>
                <w:lang w:val="en-AU"/>
              </w:rPr>
              <w:t xml:space="preserve">offer, with participant consent, for a member of the research team to do so. </w:t>
            </w:r>
          </w:p>
        </w:tc>
        <w:tc>
          <w:tcPr>
            <w:tcW w:w="927" w:type="pct"/>
            <w:vAlign w:val="center"/>
          </w:tcPr>
          <w:p w14:paraId="111C6BFA"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If participant feels able to carry on, resume interview/discussion.</w:t>
            </w:r>
          </w:p>
          <w:p w14:paraId="0A6700C2" w14:textId="77777777" w:rsidR="00DA5D12" w:rsidRPr="00167E94" w:rsidRDefault="00DA5D12" w:rsidP="00672DC2">
            <w:pPr>
              <w:spacing w:after="0"/>
              <w:rPr>
                <w:rFonts w:asciiTheme="majorHAnsi" w:hAnsiTheme="majorHAnsi" w:cstheme="majorHAnsi"/>
                <w:sz w:val="18"/>
                <w:szCs w:val="18"/>
                <w:lang w:val="en-AU"/>
              </w:rPr>
            </w:pPr>
          </w:p>
          <w:p w14:paraId="2C94C907"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lang w:val="en-AU"/>
              </w:rPr>
              <w:t>If participant is unable to carry on, stop the discussion/ interview.</w:t>
            </w:r>
          </w:p>
        </w:tc>
        <w:tc>
          <w:tcPr>
            <w:tcW w:w="339" w:type="pct"/>
            <w:vAlign w:val="center"/>
          </w:tcPr>
          <w:p w14:paraId="62F0CE02"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n/a</w:t>
            </w:r>
          </w:p>
        </w:tc>
        <w:tc>
          <w:tcPr>
            <w:tcW w:w="1100" w:type="pct"/>
            <w:vAlign w:val="center"/>
          </w:tcPr>
          <w:p w14:paraId="4B1C12F8"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Encourage the participant to call either if he/she experiences increased distress in the hours/days following the focus group</w:t>
            </w:r>
          </w:p>
          <w:p w14:paraId="0F1091AF"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OR </w:t>
            </w:r>
          </w:p>
          <w:p w14:paraId="09B19509"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Encourage participant to seek help through a local support network </w:t>
            </w:r>
          </w:p>
        </w:tc>
      </w:tr>
    </w:tbl>
    <w:p w14:paraId="65476368" w14:textId="77777777" w:rsidR="00DA5D12" w:rsidRDefault="00DA5D12" w:rsidP="00DA5D12"/>
    <w:p w14:paraId="7EBD686A" w14:textId="77777777" w:rsidR="00DA5D12" w:rsidRDefault="00DA5D12" w:rsidP="00DA5D12">
      <w:pPr>
        <w:widowControl/>
        <w:spacing w:after="0" w:line="240" w:lineRule="auto"/>
      </w:pPr>
      <w:r>
        <w:br w:type="page"/>
      </w:r>
    </w:p>
    <w:p w14:paraId="435BB054" w14:textId="77777777" w:rsidR="00DA5D12" w:rsidRDefault="00DA5D12" w:rsidP="00DA5D12"/>
    <w:tbl>
      <w:tblPr>
        <w:tblStyle w:val="TableGrid"/>
        <w:tblW w:w="5586" w:type="pct"/>
        <w:jc w:val="center"/>
        <w:tblLook w:val="04A0" w:firstRow="1" w:lastRow="0" w:firstColumn="1" w:lastColumn="0" w:noHBand="0" w:noVBand="1"/>
      </w:tblPr>
      <w:tblGrid>
        <w:gridCol w:w="1901"/>
        <w:gridCol w:w="2570"/>
        <w:gridCol w:w="2729"/>
        <w:gridCol w:w="2517"/>
        <w:gridCol w:w="1568"/>
        <w:gridCol w:w="3183"/>
      </w:tblGrid>
      <w:tr w:rsidR="00DA5D12" w:rsidRPr="00167E94" w14:paraId="12E9656B" w14:textId="77777777" w:rsidTr="00672DC2">
        <w:trPr>
          <w:trHeight w:val="557"/>
          <w:jc w:val="center"/>
        </w:trPr>
        <w:tc>
          <w:tcPr>
            <w:tcW w:w="1545" w:type="pct"/>
            <w:gridSpan w:val="2"/>
            <w:shd w:val="clear" w:color="auto" w:fill="EFEFEF" w:themeFill="background2" w:themeFillTint="33"/>
            <w:vAlign w:val="center"/>
          </w:tcPr>
          <w:p w14:paraId="2F88703E"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rPr>
              <w:t>Participant Concern or Distress</w:t>
            </w:r>
          </w:p>
        </w:tc>
        <w:tc>
          <w:tcPr>
            <w:tcW w:w="943" w:type="pct"/>
            <w:shd w:val="clear" w:color="auto" w:fill="EFEFEF" w:themeFill="background2" w:themeFillTint="33"/>
            <w:vAlign w:val="center"/>
          </w:tcPr>
          <w:p w14:paraId="2046B951"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rPr>
              <w:t xml:space="preserve">Strategy 1 </w:t>
            </w:r>
            <w:r w:rsidRPr="00167E94">
              <w:rPr>
                <w:rFonts w:asciiTheme="majorHAnsi" w:hAnsiTheme="majorHAnsi" w:cstheme="majorHAnsi"/>
                <w:sz w:val="18"/>
                <w:szCs w:val="18"/>
              </w:rPr>
              <w:sym w:font="Wingdings" w:char="F0E0"/>
            </w:r>
          </w:p>
        </w:tc>
        <w:tc>
          <w:tcPr>
            <w:tcW w:w="870" w:type="pct"/>
            <w:shd w:val="clear" w:color="auto" w:fill="EFEFEF" w:themeFill="background2" w:themeFillTint="33"/>
            <w:vAlign w:val="center"/>
          </w:tcPr>
          <w:p w14:paraId="54401425"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rPr>
              <w:t xml:space="preserve">Evaluate </w:t>
            </w:r>
            <w:r w:rsidRPr="00167E94">
              <w:rPr>
                <w:rFonts w:asciiTheme="majorHAnsi" w:hAnsiTheme="majorHAnsi" w:cstheme="majorHAnsi"/>
                <w:sz w:val="18"/>
                <w:szCs w:val="18"/>
              </w:rPr>
              <w:sym w:font="Wingdings" w:char="F0E0"/>
            </w:r>
          </w:p>
        </w:tc>
        <w:tc>
          <w:tcPr>
            <w:tcW w:w="542" w:type="pct"/>
            <w:shd w:val="clear" w:color="auto" w:fill="EFEFEF" w:themeFill="background2" w:themeFillTint="33"/>
            <w:vAlign w:val="center"/>
          </w:tcPr>
          <w:p w14:paraId="3951A05D"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rPr>
              <w:t xml:space="preserve">Strategy 2 </w:t>
            </w:r>
            <w:r w:rsidRPr="00167E94">
              <w:rPr>
                <w:rFonts w:asciiTheme="majorHAnsi" w:hAnsiTheme="majorHAnsi" w:cstheme="majorHAnsi"/>
                <w:sz w:val="18"/>
                <w:szCs w:val="18"/>
              </w:rPr>
              <w:sym w:font="Wingdings" w:char="F0E0"/>
            </w:r>
          </w:p>
        </w:tc>
        <w:tc>
          <w:tcPr>
            <w:tcW w:w="1100" w:type="pct"/>
            <w:shd w:val="clear" w:color="auto" w:fill="EFEFEF" w:themeFill="background2" w:themeFillTint="33"/>
            <w:vAlign w:val="center"/>
          </w:tcPr>
          <w:p w14:paraId="0B81F039"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Evaluate</w:t>
            </w:r>
          </w:p>
        </w:tc>
      </w:tr>
      <w:tr w:rsidR="00DA5D12" w:rsidRPr="00167E94" w14:paraId="5C3D348E" w14:textId="77777777" w:rsidTr="00672DC2">
        <w:trPr>
          <w:trHeight w:val="1257"/>
          <w:jc w:val="center"/>
        </w:trPr>
        <w:tc>
          <w:tcPr>
            <w:tcW w:w="657" w:type="pct"/>
            <w:vAlign w:val="center"/>
          </w:tcPr>
          <w:p w14:paraId="1EE481E1"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Feelings of incompetence or inadequacy</w:t>
            </w:r>
          </w:p>
        </w:tc>
        <w:tc>
          <w:tcPr>
            <w:tcW w:w="888" w:type="pct"/>
            <w:vMerge w:val="restart"/>
            <w:vAlign w:val="center"/>
          </w:tcPr>
          <w:p w14:paraId="3F575D92"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lang w:val="en-AU"/>
              </w:rPr>
              <w:t xml:space="preserve">A participant indicates they are experiencing a high level of stress or emotional distress </w:t>
            </w:r>
            <w:r w:rsidRPr="00167E94">
              <w:rPr>
                <w:rFonts w:asciiTheme="majorHAnsi" w:hAnsiTheme="majorHAnsi" w:cstheme="majorHAnsi"/>
                <w:b/>
                <w:sz w:val="18"/>
                <w:szCs w:val="18"/>
                <w:lang w:val="en-AU"/>
              </w:rPr>
              <w:t>OR</w:t>
            </w:r>
          </w:p>
          <w:p w14:paraId="15AD72CC"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Exhibit behaviours suggestive that the discussion/interview is too stressful such as uncontrolled crying, shaking etc</w:t>
            </w:r>
          </w:p>
        </w:tc>
        <w:tc>
          <w:tcPr>
            <w:tcW w:w="943" w:type="pct"/>
            <w:vMerge w:val="restart"/>
            <w:vAlign w:val="center"/>
          </w:tcPr>
          <w:p w14:paraId="3A19BDE6"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Pause the discussion/Interview.</w:t>
            </w:r>
          </w:p>
          <w:p w14:paraId="0896E677" w14:textId="77777777" w:rsidR="00DA5D12" w:rsidRPr="00167E94" w:rsidRDefault="00DA5D12" w:rsidP="00672DC2">
            <w:pPr>
              <w:spacing w:after="0"/>
              <w:rPr>
                <w:rFonts w:asciiTheme="majorHAnsi" w:hAnsiTheme="majorHAnsi" w:cstheme="majorHAnsi"/>
                <w:sz w:val="18"/>
                <w:szCs w:val="18"/>
                <w:lang w:val="en-AU"/>
              </w:rPr>
            </w:pPr>
          </w:p>
          <w:p w14:paraId="201428C4"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i/>
                <w:iCs/>
                <w:sz w:val="18"/>
                <w:szCs w:val="18"/>
                <w:lang w:val="en-AU"/>
              </w:rPr>
              <w:t>[If activity is in a group, find a separate place to]</w:t>
            </w:r>
            <w:r w:rsidRPr="00167E94">
              <w:rPr>
                <w:rFonts w:asciiTheme="majorHAnsi" w:hAnsiTheme="majorHAnsi" w:cstheme="majorHAnsi"/>
                <w:sz w:val="18"/>
                <w:szCs w:val="18"/>
                <w:lang w:val="en-AU"/>
              </w:rPr>
              <w:t xml:space="preserve"> ask the following questions: Tell me what thoughts you are having? Tell me what you are feeling right now? Do you feel you are able to go on about your day? Do you feel safe?</w:t>
            </w:r>
            <w:r>
              <w:rPr>
                <w:rFonts w:asciiTheme="majorHAnsi" w:hAnsiTheme="majorHAnsi" w:cstheme="majorHAnsi"/>
                <w:sz w:val="18"/>
                <w:szCs w:val="18"/>
                <w:lang w:val="en-AU"/>
              </w:rPr>
              <w:t xml:space="preserve"> Do you have someone you can talk to/someone who can support you?</w:t>
            </w:r>
          </w:p>
          <w:p w14:paraId="406CB042" w14:textId="77777777" w:rsidR="00DA5D12" w:rsidRPr="00167E94" w:rsidRDefault="00DA5D12" w:rsidP="00672DC2">
            <w:pPr>
              <w:spacing w:after="0"/>
              <w:rPr>
                <w:rFonts w:asciiTheme="majorHAnsi" w:hAnsiTheme="majorHAnsi" w:cstheme="majorHAnsi"/>
                <w:sz w:val="18"/>
                <w:szCs w:val="18"/>
              </w:rPr>
            </w:pPr>
          </w:p>
        </w:tc>
        <w:tc>
          <w:tcPr>
            <w:tcW w:w="870" w:type="pct"/>
            <w:vMerge w:val="restart"/>
            <w:vAlign w:val="center"/>
          </w:tcPr>
          <w:p w14:paraId="24B2B1A4"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If participant feels able to and wants to carry on, resume interview/discussion.</w:t>
            </w:r>
          </w:p>
          <w:p w14:paraId="76559600" w14:textId="77777777" w:rsidR="00DA5D12" w:rsidRPr="00167E94" w:rsidRDefault="00DA5D12" w:rsidP="00672DC2">
            <w:pPr>
              <w:spacing w:after="0"/>
              <w:rPr>
                <w:rFonts w:asciiTheme="majorHAnsi" w:hAnsiTheme="majorHAnsi" w:cstheme="majorHAnsi"/>
                <w:sz w:val="18"/>
                <w:szCs w:val="18"/>
                <w:lang w:val="en-AU"/>
              </w:rPr>
            </w:pPr>
          </w:p>
          <w:p w14:paraId="4C686B65"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lang w:val="en-AU"/>
              </w:rPr>
              <w:t>If participant is unable to carry on, move to Strategy 2</w:t>
            </w:r>
          </w:p>
        </w:tc>
        <w:tc>
          <w:tcPr>
            <w:tcW w:w="542" w:type="pct"/>
            <w:vMerge w:val="restart"/>
            <w:vAlign w:val="center"/>
          </w:tcPr>
          <w:p w14:paraId="5CECE306"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lang w:val="en-AU"/>
              </w:rPr>
              <w:t>Remove participant from discussion and accompany to quiet area or discontinue interview.</w:t>
            </w:r>
          </w:p>
          <w:p w14:paraId="06CE3526" w14:textId="77777777" w:rsidR="00DA5D12" w:rsidRPr="00167E94" w:rsidRDefault="00DA5D12" w:rsidP="00672DC2">
            <w:pPr>
              <w:spacing w:after="0"/>
              <w:rPr>
                <w:rFonts w:asciiTheme="majorHAnsi" w:hAnsiTheme="majorHAnsi" w:cstheme="majorHAnsi"/>
                <w:color w:val="1A58A8" w:themeColor="accent1"/>
                <w:sz w:val="18"/>
                <w:szCs w:val="18"/>
              </w:rPr>
            </w:pPr>
            <w:r w:rsidRPr="00167E94">
              <w:rPr>
                <w:rFonts w:asciiTheme="majorHAnsi" w:hAnsiTheme="majorHAnsi" w:cstheme="majorHAnsi"/>
                <w:sz w:val="18"/>
                <w:szCs w:val="18"/>
                <w:lang w:val="en-AU"/>
              </w:rPr>
              <w:t xml:space="preserve">Encourage the participant to contact </w:t>
            </w:r>
            <w:r w:rsidRPr="00167E94">
              <w:rPr>
                <w:rFonts w:asciiTheme="majorHAnsi" w:hAnsiTheme="majorHAnsi" w:cstheme="majorHAnsi"/>
                <w:color w:val="1A58A8" w:themeColor="accent1"/>
                <w:sz w:val="18"/>
                <w:szCs w:val="18"/>
                <w:lang w:val="en-AU"/>
              </w:rPr>
              <w:t xml:space="preserve">their local support network </w:t>
            </w:r>
            <w:r w:rsidRPr="00167E94">
              <w:rPr>
                <w:rFonts w:asciiTheme="majorHAnsi" w:hAnsiTheme="majorHAnsi" w:cstheme="majorHAnsi"/>
                <w:b/>
                <w:sz w:val="18"/>
                <w:szCs w:val="18"/>
                <w:lang w:val="en-AU"/>
              </w:rPr>
              <w:t>OR</w:t>
            </w:r>
            <w:r w:rsidRPr="00167E94">
              <w:rPr>
                <w:rFonts w:asciiTheme="majorHAnsi" w:hAnsiTheme="majorHAnsi" w:cstheme="majorHAnsi"/>
                <w:sz w:val="18"/>
                <w:szCs w:val="18"/>
                <w:lang w:val="en-AU"/>
              </w:rPr>
              <w:t xml:space="preserve"> offer, with participant consent, for a member of the research team to do so </w:t>
            </w:r>
          </w:p>
        </w:tc>
        <w:tc>
          <w:tcPr>
            <w:tcW w:w="1100" w:type="pct"/>
            <w:vMerge w:val="restart"/>
            <w:vAlign w:val="center"/>
          </w:tcPr>
          <w:p w14:paraId="2FD9AFB9"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Encourage the participant to call either if he/she experiences increased distress in the hours/days following the focus group</w:t>
            </w:r>
          </w:p>
          <w:p w14:paraId="4D371988"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OR </w:t>
            </w:r>
          </w:p>
          <w:p w14:paraId="55DB61A1"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Encourage participant to seek help through a local support network</w:t>
            </w:r>
          </w:p>
        </w:tc>
      </w:tr>
      <w:tr w:rsidR="00DA5D12" w:rsidRPr="00167E94" w14:paraId="1710F559" w14:textId="77777777" w:rsidTr="00672DC2">
        <w:trPr>
          <w:trHeight w:val="1257"/>
          <w:jc w:val="center"/>
        </w:trPr>
        <w:tc>
          <w:tcPr>
            <w:tcW w:w="657" w:type="pct"/>
            <w:vAlign w:val="center"/>
          </w:tcPr>
          <w:p w14:paraId="331607F9" w14:textId="77777777" w:rsidR="00DA5D12" w:rsidRPr="00167E94" w:rsidRDefault="00DA5D12" w:rsidP="00672DC2">
            <w:pPr>
              <w:rPr>
                <w:rFonts w:asciiTheme="majorHAnsi" w:hAnsiTheme="majorHAnsi" w:cstheme="majorHAnsi"/>
                <w:sz w:val="18"/>
                <w:szCs w:val="18"/>
              </w:rPr>
            </w:pPr>
            <w:r w:rsidRPr="00167E94">
              <w:rPr>
                <w:rFonts w:asciiTheme="majorHAnsi" w:hAnsiTheme="majorHAnsi" w:cstheme="majorHAnsi"/>
                <w:sz w:val="18"/>
                <w:szCs w:val="18"/>
              </w:rPr>
              <w:t>Feelings of grief or anger</w:t>
            </w:r>
          </w:p>
        </w:tc>
        <w:tc>
          <w:tcPr>
            <w:tcW w:w="888" w:type="pct"/>
            <w:vMerge/>
            <w:vAlign w:val="center"/>
          </w:tcPr>
          <w:p w14:paraId="6F3CB3DF" w14:textId="77777777" w:rsidR="00DA5D12" w:rsidRPr="00167E94" w:rsidRDefault="00DA5D12" w:rsidP="00672DC2">
            <w:pPr>
              <w:rPr>
                <w:rFonts w:asciiTheme="majorHAnsi" w:hAnsiTheme="majorHAnsi" w:cstheme="majorHAnsi"/>
                <w:sz w:val="18"/>
                <w:szCs w:val="18"/>
              </w:rPr>
            </w:pPr>
          </w:p>
        </w:tc>
        <w:tc>
          <w:tcPr>
            <w:tcW w:w="943" w:type="pct"/>
            <w:vMerge/>
            <w:vAlign w:val="center"/>
          </w:tcPr>
          <w:p w14:paraId="06CD58BE" w14:textId="77777777" w:rsidR="00DA5D12" w:rsidRPr="00167E94" w:rsidRDefault="00DA5D12" w:rsidP="00672DC2">
            <w:pPr>
              <w:rPr>
                <w:rFonts w:asciiTheme="majorHAnsi" w:hAnsiTheme="majorHAnsi" w:cstheme="majorHAnsi"/>
                <w:sz w:val="18"/>
                <w:szCs w:val="18"/>
              </w:rPr>
            </w:pPr>
          </w:p>
        </w:tc>
        <w:tc>
          <w:tcPr>
            <w:tcW w:w="870" w:type="pct"/>
            <w:vMerge/>
            <w:vAlign w:val="center"/>
          </w:tcPr>
          <w:p w14:paraId="0ED225B4" w14:textId="77777777" w:rsidR="00DA5D12" w:rsidRPr="00167E94" w:rsidRDefault="00DA5D12" w:rsidP="00672DC2">
            <w:pPr>
              <w:rPr>
                <w:rFonts w:asciiTheme="majorHAnsi" w:hAnsiTheme="majorHAnsi" w:cstheme="majorHAnsi"/>
                <w:sz w:val="18"/>
                <w:szCs w:val="18"/>
              </w:rPr>
            </w:pPr>
          </w:p>
        </w:tc>
        <w:tc>
          <w:tcPr>
            <w:tcW w:w="542" w:type="pct"/>
            <w:vMerge/>
            <w:vAlign w:val="center"/>
          </w:tcPr>
          <w:p w14:paraId="2EFD121B" w14:textId="77777777" w:rsidR="00DA5D12" w:rsidRPr="00167E94" w:rsidRDefault="00DA5D12" w:rsidP="00672DC2">
            <w:pPr>
              <w:rPr>
                <w:rFonts w:asciiTheme="majorHAnsi" w:hAnsiTheme="majorHAnsi" w:cstheme="majorHAnsi"/>
                <w:sz w:val="18"/>
                <w:szCs w:val="18"/>
              </w:rPr>
            </w:pPr>
          </w:p>
        </w:tc>
        <w:tc>
          <w:tcPr>
            <w:tcW w:w="1100" w:type="pct"/>
            <w:vMerge/>
            <w:vAlign w:val="center"/>
          </w:tcPr>
          <w:p w14:paraId="3DAC53A0" w14:textId="77777777" w:rsidR="00DA5D12" w:rsidRPr="00167E94" w:rsidRDefault="00DA5D12" w:rsidP="00672DC2">
            <w:pPr>
              <w:rPr>
                <w:rFonts w:asciiTheme="majorHAnsi" w:hAnsiTheme="majorHAnsi" w:cstheme="majorHAnsi"/>
                <w:sz w:val="18"/>
                <w:szCs w:val="18"/>
              </w:rPr>
            </w:pPr>
          </w:p>
        </w:tc>
      </w:tr>
      <w:tr w:rsidR="00DA5D12" w:rsidRPr="00167E94" w14:paraId="014B4276" w14:textId="77777777" w:rsidTr="00672DC2">
        <w:trPr>
          <w:trHeight w:val="1257"/>
          <w:jc w:val="center"/>
        </w:trPr>
        <w:tc>
          <w:tcPr>
            <w:tcW w:w="657" w:type="pct"/>
            <w:vAlign w:val="center"/>
          </w:tcPr>
          <w:p w14:paraId="00A1111B" w14:textId="77777777" w:rsidR="00DA5D12" w:rsidRPr="00167E94" w:rsidRDefault="00DA5D12" w:rsidP="00672DC2">
            <w:pPr>
              <w:rPr>
                <w:rFonts w:asciiTheme="majorHAnsi" w:hAnsiTheme="majorHAnsi" w:cstheme="majorHAnsi"/>
                <w:sz w:val="18"/>
                <w:szCs w:val="18"/>
              </w:rPr>
            </w:pPr>
            <w:r w:rsidRPr="00167E94">
              <w:rPr>
                <w:rFonts w:asciiTheme="majorHAnsi" w:hAnsiTheme="majorHAnsi" w:cstheme="majorHAnsi"/>
                <w:sz w:val="18"/>
                <w:szCs w:val="18"/>
              </w:rPr>
              <w:t>Raised consciousness of ongoing hardships</w:t>
            </w:r>
          </w:p>
        </w:tc>
        <w:tc>
          <w:tcPr>
            <w:tcW w:w="888" w:type="pct"/>
            <w:vMerge/>
            <w:vAlign w:val="center"/>
          </w:tcPr>
          <w:p w14:paraId="3E19EE02" w14:textId="77777777" w:rsidR="00DA5D12" w:rsidRPr="00167E94" w:rsidRDefault="00DA5D12" w:rsidP="00672DC2">
            <w:pPr>
              <w:rPr>
                <w:rFonts w:asciiTheme="majorHAnsi" w:hAnsiTheme="majorHAnsi" w:cstheme="majorHAnsi"/>
                <w:sz w:val="18"/>
                <w:szCs w:val="18"/>
              </w:rPr>
            </w:pPr>
          </w:p>
        </w:tc>
        <w:tc>
          <w:tcPr>
            <w:tcW w:w="943" w:type="pct"/>
            <w:vMerge/>
            <w:vAlign w:val="center"/>
          </w:tcPr>
          <w:p w14:paraId="03CC9B39" w14:textId="77777777" w:rsidR="00DA5D12" w:rsidRPr="00167E94" w:rsidRDefault="00DA5D12" w:rsidP="00672DC2">
            <w:pPr>
              <w:rPr>
                <w:rFonts w:asciiTheme="majorHAnsi" w:hAnsiTheme="majorHAnsi" w:cstheme="majorHAnsi"/>
                <w:sz w:val="18"/>
                <w:szCs w:val="18"/>
              </w:rPr>
            </w:pPr>
          </w:p>
        </w:tc>
        <w:tc>
          <w:tcPr>
            <w:tcW w:w="870" w:type="pct"/>
            <w:vMerge/>
            <w:vAlign w:val="center"/>
          </w:tcPr>
          <w:p w14:paraId="5B6B8623" w14:textId="77777777" w:rsidR="00DA5D12" w:rsidRPr="00167E94" w:rsidRDefault="00DA5D12" w:rsidP="00672DC2">
            <w:pPr>
              <w:rPr>
                <w:rFonts w:asciiTheme="majorHAnsi" w:hAnsiTheme="majorHAnsi" w:cstheme="majorHAnsi"/>
                <w:sz w:val="18"/>
                <w:szCs w:val="18"/>
              </w:rPr>
            </w:pPr>
          </w:p>
        </w:tc>
        <w:tc>
          <w:tcPr>
            <w:tcW w:w="542" w:type="pct"/>
            <w:vMerge/>
            <w:vAlign w:val="center"/>
          </w:tcPr>
          <w:p w14:paraId="4705E1E7" w14:textId="77777777" w:rsidR="00DA5D12" w:rsidRPr="00167E94" w:rsidRDefault="00DA5D12" w:rsidP="00672DC2">
            <w:pPr>
              <w:rPr>
                <w:rFonts w:asciiTheme="majorHAnsi" w:hAnsiTheme="majorHAnsi" w:cstheme="majorHAnsi"/>
                <w:sz w:val="18"/>
                <w:szCs w:val="18"/>
              </w:rPr>
            </w:pPr>
          </w:p>
        </w:tc>
        <w:tc>
          <w:tcPr>
            <w:tcW w:w="1100" w:type="pct"/>
            <w:vMerge/>
            <w:vAlign w:val="center"/>
          </w:tcPr>
          <w:p w14:paraId="47B8380E" w14:textId="77777777" w:rsidR="00DA5D12" w:rsidRPr="00167E94" w:rsidRDefault="00DA5D12" w:rsidP="00672DC2">
            <w:pPr>
              <w:rPr>
                <w:rFonts w:asciiTheme="majorHAnsi" w:hAnsiTheme="majorHAnsi" w:cstheme="majorHAnsi"/>
                <w:sz w:val="18"/>
                <w:szCs w:val="18"/>
              </w:rPr>
            </w:pPr>
          </w:p>
        </w:tc>
      </w:tr>
      <w:tr w:rsidR="00DA5D12" w:rsidRPr="00167E94" w14:paraId="70F1D8FE" w14:textId="77777777" w:rsidTr="00672DC2">
        <w:trPr>
          <w:trHeight w:val="1257"/>
          <w:jc w:val="center"/>
        </w:trPr>
        <w:tc>
          <w:tcPr>
            <w:tcW w:w="657" w:type="pct"/>
            <w:vAlign w:val="center"/>
          </w:tcPr>
          <w:p w14:paraId="3F416662" w14:textId="77777777" w:rsidR="00DA5D12" w:rsidRPr="00167E94" w:rsidRDefault="00DA5D12" w:rsidP="00672DC2">
            <w:pPr>
              <w:rPr>
                <w:rFonts w:asciiTheme="majorHAnsi" w:hAnsiTheme="majorHAnsi" w:cstheme="majorHAnsi"/>
                <w:sz w:val="18"/>
                <w:szCs w:val="18"/>
              </w:rPr>
            </w:pPr>
            <w:r w:rsidRPr="00167E94">
              <w:rPr>
                <w:rFonts w:asciiTheme="majorHAnsi" w:hAnsiTheme="majorHAnsi" w:cstheme="majorHAnsi"/>
                <w:sz w:val="18"/>
                <w:szCs w:val="18"/>
              </w:rPr>
              <w:t>Raised consciousness of inequalities</w:t>
            </w:r>
          </w:p>
        </w:tc>
        <w:tc>
          <w:tcPr>
            <w:tcW w:w="888" w:type="pct"/>
            <w:vMerge/>
            <w:vAlign w:val="center"/>
          </w:tcPr>
          <w:p w14:paraId="4B019C50" w14:textId="77777777" w:rsidR="00DA5D12" w:rsidRPr="00167E94" w:rsidRDefault="00DA5D12" w:rsidP="00672DC2">
            <w:pPr>
              <w:rPr>
                <w:rFonts w:asciiTheme="majorHAnsi" w:hAnsiTheme="majorHAnsi" w:cstheme="majorHAnsi"/>
                <w:sz w:val="18"/>
                <w:szCs w:val="18"/>
              </w:rPr>
            </w:pPr>
          </w:p>
        </w:tc>
        <w:tc>
          <w:tcPr>
            <w:tcW w:w="943" w:type="pct"/>
            <w:vMerge/>
            <w:vAlign w:val="center"/>
          </w:tcPr>
          <w:p w14:paraId="17D67EC9" w14:textId="77777777" w:rsidR="00DA5D12" w:rsidRPr="00167E94" w:rsidRDefault="00DA5D12" w:rsidP="00672DC2">
            <w:pPr>
              <w:rPr>
                <w:rFonts w:asciiTheme="majorHAnsi" w:hAnsiTheme="majorHAnsi" w:cstheme="majorHAnsi"/>
                <w:sz w:val="18"/>
                <w:szCs w:val="18"/>
              </w:rPr>
            </w:pPr>
          </w:p>
        </w:tc>
        <w:tc>
          <w:tcPr>
            <w:tcW w:w="870" w:type="pct"/>
            <w:vMerge/>
            <w:vAlign w:val="center"/>
          </w:tcPr>
          <w:p w14:paraId="1ACA90B5" w14:textId="77777777" w:rsidR="00DA5D12" w:rsidRPr="00167E94" w:rsidRDefault="00DA5D12" w:rsidP="00672DC2">
            <w:pPr>
              <w:rPr>
                <w:rFonts w:asciiTheme="majorHAnsi" w:hAnsiTheme="majorHAnsi" w:cstheme="majorHAnsi"/>
                <w:sz w:val="18"/>
                <w:szCs w:val="18"/>
              </w:rPr>
            </w:pPr>
          </w:p>
        </w:tc>
        <w:tc>
          <w:tcPr>
            <w:tcW w:w="542" w:type="pct"/>
            <w:vMerge/>
            <w:vAlign w:val="center"/>
          </w:tcPr>
          <w:p w14:paraId="681E1F42" w14:textId="77777777" w:rsidR="00DA5D12" w:rsidRPr="00167E94" w:rsidRDefault="00DA5D12" w:rsidP="00672DC2">
            <w:pPr>
              <w:rPr>
                <w:rFonts w:asciiTheme="majorHAnsi" w:hAnsiTheme="majorHAnsi" w:cstheme="majorHAnsi"/>
                <w:sz w:val="18"/>
                <w:szCs w:val="18"/>
              </w:rPr>
            </w:pPr>
          </w:p>
        </w:tc>
        <w:tc>
          <w:tcPr>
            <w:tcW w:w="1100" w:type="pct"/>
            <w:vMerge/>
            <w:vAlign w:val="center"/>
          </w:tcPr>
          <w:p w14:paraId="66A206F5" w14:textId="77777777" w:rsidR="00DA5D12" w:rsidRPr="00167E94" w:rsidRDefault="00DA5D12" w:rsidP="00672DC2">
            <w:pPr>
              <w:rPr>
                <w:rFonts w:asciiTheme="majorHAnsi" w:hAnsiTheme="majorHAnsi" w:cstheme="majorHAnsi"/>
                <w:sz w:val="18"/>
                <w:szCs w:val="18"/>
              </w:rPr>
            </w:pPr>
          </w:p>
        </w:tc>
      </w:tr>
    </w:tbl>
    <w:p w14:paraId="091E6902" w14:textId="77777777" w:rsidR="00DA5D12" w:rsidRPr="00167E94" w:rsidRDefault="00DA5D12" w:rsidP="00DA5D12">
      <w:pPr>
        <w:rPr>
          <w:rFonts w:asciiTheme="majorHAnsi" w:hAnsiTheme="majorHAnsi" w:cstheme="majorHAnsi"/>
        </w:rPr>
      </w:pPr>
    </w:p>
    <w:p w14:paraId="6EAF3862" w14:textId="77777777" w:rsidR="00DA5D12" w:rsidRPr="00167E94" w:rsidRDefault="00DA5D12" w:rsidP="00DA5D12">
      <w:pPr>
        <w:widowControl/>
        <w:spacing w:after="0" w:line="240" w:lineRule="auto"/>
        <w:rPr>
          <w:rFonts w:asciiTheme="majorHAnsi" w:hAnsiTheme="majorHAnsi" w:cstheme="majorHAnsi"/>
        </w:rPr>
      </w:pPr>
      <w:r w:rsidRPr="00167E94">
        <w:rPr>
          <w:rFonts w:asciiTheme="majorHAnsi" w:hAnsiTheme="majorHAnsi" w:cstheme="majorHAnsi"/>
        </w:rPr>
        <w:br w:type="page"/>
      </w:r>
    </w:p>
    <w:p w14:paraId="5312EC74" w14:textId="77777777" w:rsidR="00DA5D12" w:rsidRPr="00167E94" w:rsidRDefault="00DA5D12" w:rsidP="00DA5D12">
      <w:pPr>
        <w:pStyle w:val="Heading2"/>
        <w:rPr>
          <w:rFonts w:asciiTheme="majorHAnsi" w:hAnsiTheme="majorHAnsi" w:cstheme="majorHAnsi"/>
        </w:rPr>
      </w:pPr>
      <w:r w:rsidRPr="00167E94">
        <w:rPr>
          <w:rFonts w:asciiTheme="majorHAnsi" w:hAnsiTheme="majorHAnsi" w:cstheme="majorHAnsi"/>
        </w:rPr>
        <w:lastRenderedPageBreak/>
        <w:t>Table 2. Participant Distress After Engagement – Distress Protocol</w:t>
      </w:r>
    </w:p>
    <w:tbl>
      <w:tblPr>
        <w:tblStyle w:val="TableGrid"/>
        <w:tblW w:w="13387" w:type="dxa"/>
        <w:tblInd w:w="-714" w:type="dxa"/>
        <w:tblLook w:val="04A0" w:firstRow="1" w:lastRow="0" w:firstColumn="1" w:lastColumn="0" w:noHBand="0" w:noVBand="1"/>
      </w:tblPr>
      <w:tblGrid>
        <w:gridCol w:w="3364"/>
        <w:gridCol w:w="2886"/>
        <w:gridCol w:w="2470"/>
        <w:gridCol w:w="2432"/>
        <w:gridCol w:w="2235"/>
      </w:tblGrid>
      <w:tr w:rsidR="00DA5D12" w:rsidRPr="00167E94" w14:paraId="3DE2329E" w14:textId="77777777" w:rsidTr="00672DC2">
        <w:trPr>
          <w:trHeight w:val="650"/>
        </w:trPr>
        <w:tc>
          <w:tcPr>
            <w:tcW w:w="6250" w:type="dxa"/>
            <w:gridSpan w:val="2"/>
            <w:shd w:val="clear" w:color="auto" w:fill="EFEFEF" w:themeFill="background2" w:themeFillTint="33"/>
          </w:tcPr>
          <w:p w14:paraId="18060ADD"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Participant Concern or Distress</w:t>
            </w:r>
          </w:p>
        </w:tc>
        <w:tc>
          <w:tcPr>
            <w:tcW w:w="2470" w:type="dxa"/>
            <w:shd w:val="clear" w:color="auto" w:fill="EFEFEF" w:themeFill="background2" w:themeFillTint="33"/>
          </w:tcPr>
          <w:p w14:paraId="3ADB8944"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Strategy 1</w:t>
            </w:r>
          </w:p>
          <w:p w14:paraId="132DCC66"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CSO Support</w:t>
            </w:r>
          </w:p>
        </w:tc>
        <w:tc>
          <w:tcPr>
            <w:tcW w:w="2432" w:type="dxa"/>
            <w:shd w:val="clear" w:color="auto" w:fill="EFEFEF" w:themeFill="background2" w:themeFillTint="33"/>
          </w:tcPr>
          <w:p w14:paraId="5F071E99"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Strategy 2</w:t>
            </w:r>
          </w:p>
          <w:p w14:paraId="2F2DC09B"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Stakeholders</w:t>
            </w:r>
          </w:p>
        </w:tc>
        <w:tc>
          <w:tcPr>
            <w:tcW w:w="2235" w:type="dxa"/>
            <w:shd w:val="clear" w:color="auto" w:fill="EFEFEF" w:themeFill="background2" w:themeFillTint="33"/>
          </w:tcPr>
          <w:p w14:paraId="0942B8CD"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Strategy 3</w:t>
            </w:r>
          </w:p>
          <w:p w14:paraId="5FB856AE"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Support organizations</w:t>
            </w:r>
          </w:p>
        </w:tc>
      </w:tr>
      <w:tr w:rsidR="00DA5D12" w:rsidRPr="00167E94" w14:paraId="54C6792E" w14:textId="77777777" w:rsidTr="00672DC2">
        <w:trPr>
          <w:trHeight w:val="729"/>
        </w:trPr>
        <w:tc>
          <w:tcPr>
            <w:tcW w:w="3364" w:type="dxa"/>
          </w:tcPr>
          <w:p w14:paraId="29BCB656"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Increased tension or conflict in the home, workplace or community</w:t>
            </w:r>
          </w:p>
        </w:tc>
        <w:tc>
          <w:tcPr>
            <w:tcW w:w="2885" w:type="dxa"/>
            <w:vMerge w:val="restart"/>
          </w:tcPr>
          <w:p w14:paraId="47ABBA0A"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A boundary actor or CSO staff member observes possible discontentment or GBV </w:t>
            </w:r>
          </w:p>
          <w:p w14:paraId="220CDF56"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OR </w:t>
            </w:r>
          </w:p>
          <w:p w14:paraId="62E0A794"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A participant calls a stakeholder, the CSO or the GBV support agency to report discontentment, conflict or harm. </w:t>
            </w:r>
          </w:p>
        </w:tc>
        <w:tc>
          <w:tcPr>
            <w:tcW w:w="2470" w:type="dxa"/>
          </w:tcPr>
          <w:p w14:paraId="5F89C197"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CSO conducts ongoing support and mentorship to stakeholders for their own support and for stakeholders to provide support to beneficiaries.</w:t>
            </w:r>
          </w:p>
        </w:tc>
        <w:tc>
          <w:tcPr>
            <w:tcW w:w="2432" w:type="dxa"/>
          </w:tcPr>
          <w:p w14:paraId="42D49C1E"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Stakeholders monitor individuals within their community or workplace who have flagged concerns both during the data collection or have been identified as at risk through the research.</w:t>
            </w:r>
          </w:p>
        </w:tc>
        <w:tc>
          <w:tcPr>
            <w:tcW w:w="2235" w:type="dxa"/>
          </w:tcPr>
          <w:p w14:paraId="7175F1B4"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 xml:space="preserve">Organizations provide support for individuals to access justice and further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xa"/>
          </w:tcPr>
          <w:p w14:paraId="5D23BE0A"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Discontentment with current gender dynamics</w:t>
            </w:r>
          </w:p>
        </w:tc>
        <w:tc>
          <w:tcPr>
            <w:tcW w:w="2885" w:type="dxa"/>
            <w:vMerge/>
          </w:tcPr>
          <w:p w14:paraId="3F3E67CA" w14:textId="77777777" w:rsidR="00DA5D12" w:rsidRPr="00167E94" w:rsidRDefault="00DA5D12" w:rsidP="00672DC2">
            <w:pPr>
              <w:spacing w:after="0"/>
              <w:rPr>
                <w:rFonts w:asciiTheme="majorHAnsi" w:hAnsiTheme="majorHAnsi" w:cstheme="majorHAnsi"/>
                <w:sz w:val="18"/>
                <w:szCs w:val="18"/>
                <w:lang w:val="en-AU"/>
              </w:rPr>
            </w:pPr>
          </w:p>
        </w:tc>
        <w:tc>
          <w:tcPr>
            <w:tcW w:w="2470" w:type="dxa"/>
          </w:tcPr>
          <w:p w14:paraId="58208846"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CSOs support stakeholders on vision of change strategies to engage with discontentment </w:t>
            </w:r>
            <w:r w:rsidRPr="00167E94">
              <w:rPr>
                <w:rFonts w:asciiTheme="majorHAnsi" w:hAnsiTheme="majorHAnsi" w:cstheme="majorHAnsi"/>
                <w:sz w:val="18"/>
                <w:szCs w:val="18"/>
                <w:lang w:val="en-AU"/>
              </w:rPr>
              <w:t xml:space="preserve">in a safe and incremental manner.  </w:t>
            </w:r>
          </w:p>
        </w:tc>
        <w:tc>
          <w:tcPr>
            <w:tcW w:w="2432" w:type="dxa"/>
          </w:tcPr>
          <w:p w14:paraId="7318C1BD"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Stakeholders are supported to create informal household or workplace level visions of change</w:t>
            </w:r>
            <w:r w:rsidRPr="00167E94">
              <w:rPr>
                <w:rFonts w:asciiTheme="majorHAnsi" w:hAnsiTheme="majorHAnsi" w:cstheme="majorHAnsi"/>
                <w:sz w:val="18"/>
                <w:szCs w:val="18"/>
                <w:lang w:val="en-AU"/>
              </w:rPr>
              <w:t xml:space="preserve"> in a safe and incremental manner.  </w:t>
            </w:r>
          </w:p>
        </w:tc>
        <w:tc>
          <w:tcPr>
            <w:tcW w:w="2235" w:type="dxa"/>
          </w:tcPr>
          <w:p w14:paraId="17CD6779" w14:textId="77777777" w:rsidR="00DA5D12" w:rsidRPr="00167E94" w:rsidRDefault="00DA5D12" w:rsidP="00672DC2">
            <w:pPr>
              <w:spacing w:after="0"/>
              <w:rPr>
                <w:rFonts w:asciiTheme="majorHAnsi" w:hAnsiTheme="majorHAnsi" w:cstheme="majorHAnsi"/>
                <w:sz w:val="18"/>
                <w:szCs w:val="18"/>
                <w:lang w:val="en-AU"/>
              </w:rPr>
            </w:pPr>
            <w:r w:rsidRPr="00167E94">
              <w:rPr>
                <w:rFonts w:asciiTheme="majorHAnsi" w:hAnsiTheme="majorHAnsi" w:cstheme="majorHAnsi"/>
                <w:sz w:val="18"/>
                <w:szCs w:val="18"/>
                <w:lang w:val="en-AU"/>
              </w:rPr>
              <w:t xml:space="preserve">Organizations provide support for individuals </w:t>
            </w:r>
            <w:proofErr w:type="gramStart"/>
            <w:r w:rsidRPr="00167E94">
              <w:rPr>
                <w:rFonts w:asciiTheme="majorHAnsi" w:hAnsiTheme="majorHAnsi" w:cstheme="majorHAnsi"/>
                <w:sz w:val="18"/>
                <w:szCs w:val="18"/>
                <w:lang w:val="en-AU"/>
              </w:rPr>
              <w:t>to</w:t>
            </w:r>
            <w:proofErr w:type="gramEnd"/>
            <w:r w:rsidRPr="00167E94">
              <w:rPr>
                <w:rFonts w:asciiTheme="majorHAnsi" w:hAnsiTheme="majorHAnsi" w:cstheme="majorHAnsi"/>
                <w:sz w:val="18"/>
                <w:szCs w:val="18"/>
                <w:lang w:val="en-AU"/>
              </w:rPr>
              <w:t xml:space="preserve"> and community groups are express interest to change gender dynamics in a safe and incremental manner.  </w:t>
            </w:r>
          </w:p>
        </w:tc>
      </w:tr>
    </w:tbl>
    <w:p w14:paraId="39CF1683" w14:textId="77777777" w:rsidR="00DA5D12" w:rsidRPr="00167E94" w:rsidRDefault="00DA5D12" w:rsidP="00DA5D12">
      <w:pPr>
        <w:rPr>
          <w:rFonts w:asciiTheme="majorHAnsi" w:hAnsiTheme="majorHAnsi" w:cstheme="majorHAnsi"/>
        </w:rPr>
        <w:sectPr w:rsidR="00DA5D12" w:rsidRPr="00167E94" w:rsidSect="00614ADE">
          <w:pgSz w:w="15840" w:h="12240" w:orient="landscape"/>
          <w:pgMar w:top="1440" w:right="1440" w:bottom="1440" w:left="1440" w:header="720" w:footer="720" w:gutter="0"/>
          <w:cols w:space="720"/>
          <w:docGrid w:linePitch="360"/>
        </w:sectPr>
      </w:pPr>
    </w:p>
    <w:p w14:paraId="589F6619" w14:textId="77777777" w:rsidR="00DA5D12" w:rsidRPr="00167E94" w:rsidRDefault="00DA5D12" w:rsidP="00DA5D12">
      <w:pPr>
        <w:rPr>
          <w:rFonts w:asciiTheme="majorHAnsi" w:hAnsiTheme="majorHAnsi" w:cstheme="majorHAnsi"/>
        </w:rPr>
      </w:pPr>
    </w:p>
    <w:p w14:paraId="761CA3FF" w14:textId="77777777" w:rsidR="00DA5D12" w:rsidRPr="00167E94" w:rsidRDefault="00DA5D12" w:rsidP="00DA5D12">
      <w:pPr>
        <w:pStyle w:val="Heading2"/>
        <w:rPr>
          <w:rFonts w:asciiTheme="majorHAnsi" w:hAnsiTheme="majorHAnsi" w:cstheme="majorHAnsi"/>
        </w:rPr>
      </w:pPr>
      <w:r w:rsidRPr="00167E94">
        <w:rPr>
          <w:rFonts w:asciiTheme="majorHAnsi" w:hAnsiTheme="majorHAnsi" w:cstheme="majorHAnsi"/>
        </w:rPr>
        <w:t xml:space="preserve">Table </w:t>
      </w:r>
      <w:r>
        <w:rPr>
          <w:rFonts w:asciiTheme="majorHAnsi" w:hAnsiTheme="majorHAnsi" w:cstheme="majorHAnsi"/>
        </w:rPr>
        <w:t>3</w:t>
      </w:r>
      <w:r w:rsidRPr="00167E94">
        <w:rPr>
          <w:rFonts w:asciiTheme="majorHAnsi" w:hAnsiTheme="majorHAnsi" w:cstheme="majorHAnsi"/>
        </w:rPr>
        <w:t>. Researcher Distress Protocol</w:t>
      </w:r>
    </w:p>
    <w:tbl>
      <w:tblPr>
        <w:tblStyle w:val="TableGrid"/>
        <w:tblpPr w:leftFromText="180" w:rightFromText="180" w:vertAnchor="text" w:horzAnchor="margin" w:tblpX="-545" w:tblpY="29"/>
        <w:tblW w:w="5182" w:type="pct"/>
        <w:tblLook w:val="04A0" w:firstRow="1" w:lastRow="0" w:firstColumn="1" w:lastColumn="0" w:noHBand="0" w:noVBand="1"/>
      </w:tblPr>
      <w:tblGrid>
        <w:gridCol w:w="2577"/>
        <w:gridCol w:w="6767"/>
      </w:tblGrid>
      <w:tr w:rsidR="00DA5D12" w:rsidRPr="00167E94" w14:paraId="2B0B862D" w14:textId="77777777" w:rsidTr="00672DC2">
        <w:trPr>
          <w:trHeight w:val="639"/>
        </w:trPr>
        <w:tc>
          <w:tcPr>
            <w:tcW w:w="1379" w:type="pct"/>
            <w:shd w:val="clear" w:color="auto" w:fill="EFEFEF" w:themeFill="background2" w:themeFillTint="33"/>
            <w:vAlign w:val="center"/>
          </w:tcPr>
          <w:p w14:paraId="43CC6273"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Research Concern or Distress</w:t>
            </w:r>
          </w:p>
        </w:tc>
        <w:tc>
          <w:tcPr>
            <w:tcW w:w="3621" w:type="pct"/>
            <w:shd w:val="clear" w:color="auto" w:fill="EFEFEF" w:themeFill="background2" w:themeFillTint="33"/>
            <w:vAlign w:val="center"/>
          </w:tcPr>
          <w:p w14:paraId="12E9B683"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Strategies</w:t>
            </w:r>
          </w:p>
        </w:tc>
      </w:tr>
      <w:tr w:rsidR="00DA5D12" w:rsidRPr="00167E94" w14:paraId="7082FC0F" w14:textId="77777777" w:rsidTr="00672DC2">
        <w:trPr>
          <w:trHeight w:val="1632"/>
        </w:trPr>
        <w:tc>
          <w:tcPr>
            <w:tcW w:w="1379" w:type="pct"/>
            <w:shd w:val="clear" w:color="auto" w:fill="auto"/>
            <w:vAlign w:val="center"/>
          </w:tcPr>
          <w:p w14:paraId="742723DE"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Threat or physical danger</w:t>
            </w:r>
          </w:p>
        </w:tc>
        <w:tc>
          <w:tcPr>
            <w:tcW w:w="3621" w:type="pct"/>
            <w:shd w:val="clear" w:color="auto" w:fill="auto"/>
            <w:vAlign w:val="center"/>
          </w:tcPr>
          <w:p w14:paraId="1C97EC58"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Each member of research team carries an emergency contact list</w:t>
            </w:r>
          </w:p>
          <w:p w14:paraId="0B52A6A4"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Follow all international travel advisories</w:t>
            </w:r>
          </w:p>
          <w:p w14:paraId="7CCF9DAB"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Avoid areas with risk as per international guidelines</w:t>
            </w:r>
          </w:p>
          <w:p w14:paraId="43E09CE3"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Coordinate with national CSO headquarters and travel advisories</w:t>
            </w:r>
          </w:p>
          <w:p w14:paraId="1AEF7C5F"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Inform relevant project staff member before and after all household visits</w:t>
            </w:r>
          </w:p>
        </w:tc>
      </w:tr>
      <w:tr w:rsidR="00DA5D12" w:rsidRPr="00167E94" w14:paraId="7A958749" w14:textId="77777777" w:rsidTr="00672DC2">
        <w:trPr>
          <w:trHeight w:val="1374"/>
        </w:trPr>
        <w:tc>
          <w:tcPr>
            <w:tcW w:w="1379" w:type="pct"/>
            <w:shd w:val="clear" w:color="auto" w:fill="auto"/>
            <w:vAlign w:val="center"/>
          </w:tcPr>
          <w:p w14:paraId="6C0CCA73"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Physical illness or accident</w:t>
            </w:r>
          </w:p>
        </w:tc>
        <w:tc>
          <w:tcPr>
            <w:tcW w:w="3621" w:type="pct"/>
            <w:shd w:val="clear" w:color="auto" w:fill="auto"/>
            <w:vAlign w:val="center"/>
          </w:tcPr>
          <w:p w14:paraId="41BF997C"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Travel only in enclosed vehicles with seatbelts during daylight</w:t>
            </w:r>
          </w:p>
          <w:p w14:paraId="6E6FFFB0"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Each vehicle will care a first aid kit</w:t>
            </w:r>
          </w:p>
          <w:p w14:paraId="59B0F461"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Ensure updated vaccines</w:t>
            </w:r>
          </w:p>
          <w:p w14:paraId="749C0760"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Drink bottled water and food from reputable restaurants</w:t>
            </w:r>
          </w:p>
          <w:p w14:paraId="20D3DB6C"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Use bug repellent and nets</w:t>
            </w:r>
          </w:p>
        </w:tc>
      </w:tr>
      <w:tr w:rsidR="00DA5D12" w:rsidRPr="00167E94" w14:paraId="128FC809" w14:textId="77777777" w:rsidTr="00672DC2">
        <w:trPr>
          <w:trHeight w:val="1374"/>
        </w:trPr>
        <w:tc>
          <w:tcPr>
            <w:tcW w:w="1379" w:type="pct"/>
            <w:shd w:val="clear" w:color="auto" w:fill="auto"/>
            <w:vAlign w:val="center"/>
          </w:tcPr>
          <w:p w14:paraId="5573FF8B"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 xml:space="preserve">Feelings of anxiety or severe stress </w:t>
            </w:r>
          </w:p>
        </w:tc>
        <w:tc>
          <w:tcPr>
            <w:tcW w:w="3621" w:type="pct"/>
            <w:shd w:val="clear" w:color="auto" w:fill="auto"/>
            <w:vAlign w:val="center"/>
          </w:tcPr>
          <w:p w14:paraId="5E1F536E"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Conduct ongoing debriefs with research team and supervision</w:t>
            </w:r>
          </w:p>
          <w:p w14:paraId="72D09E4A"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Encourage meditation and prayer for team if applicable</w:t>
            </w:r>
          </w:p>
          <w:p w14:paraId="48557C56" w14:textId="77777777" w:rsidR="00DA5D12" w:rsidRPr="00167E94" w:rsidRDefault="00DA5D12" w:rsidP="00672DC2">
            <w:pPr>
              <w:spacing w:after="0"/>
              <w:rPr>
                <w:rFonts w:asciiTheme="majorHAnsi" w:hAnsiTheme="majorHAnsi" w:cstheme="majorHAnsi"/>
                <w:sz w:val="18"/>
                <w:szCs w:val="18"/>
              </w:rPr>
            </w:pPr>
            <w:r w:rsidRPr="00167E94">
              <w:rPr>
                <w:rFonts w:asciiTheme="majorHAnsi" w:hAnsiTheme="majorHAnsi" w:cstheme="majorHAnsi"/>
                <w:sz w:val="18"/>
                <w:szCs w:val="18"/>
              </w:rPr>
              <w:t>Avoid research on weekends</w:t>
            </w:r>
          </w:p>
        </w:tc>
      </w:tr>
    </w:tbl>
    <w:p w14:paraId="30F9BE1D" w14:textId="77777777" w:rsidR="00DA5D12" w:rsidRDefault="00DA5D12" w:rsidP="00DA5D12">
      <w:pPr>
        <w:rPr>
          <w:rFonts w:asciiTheme="majorHAnsi" w:hAnsiTheme="majorHAnsi" w:cstheme="majorHAnsi"/>
        </w:rPr>
      </w:pPr>
      <w:bookmarkStart w:id="2" w:name="_Toc26256344"/>
      <w:bookmarkEnd w:id="2"/>
    </w:p>
    <w:p w14:paraId="77FF24E4" w14:textId="77777777" w:rsidR="00DA5D12" w:rsidRPr="00F47069" w:rsidRDefault="00DA5D12" w:rsidP="00DA5D12">
      <w:pPr>
        <w:rPr>
          <w:rFonts w:asciiTheme="majorHAnsi" w:hAnsiTheme="majorHAnsi" w:cstheme="majorHAnsi"/>
        </w:rPr>
      </w:pPr>
    </w:p>
    <w:p w14:paraId="7B27AC28" w14:textId="77777777" w:rsidR="001F627C" w:rsidRPr="00DA5D12" w:rsidRDefault="001F627C" w:rsidP="00DA5D12"/>
    <w:sectPr w:rsidR="001F627C" w:rsidRPr="00DA5D12" w:rsidSect="00EB54B8">
      <w:headerReference w:type="even" r:id="rId17"/>
      <w:headerReference w:type="default" r:id="rId18"/>
      <w:footerReference w:type="even"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9B59" w14:textId="77777777" w:rsidR="004C2945" w:rsidRDefault="004C2945" w:rsidP="00277FEA">
      <w:r>
        <w:separator/>
      </w:r>
    </w:p>
  </w:endnote>
  <w:endnote w:type="continuationSeparator" w:id="0">
    <w:p w14:paraId="0F407BFE" w14:textId="77777777" w:rsidR="004C2945" w:rsidRDefault="004C2945" w:rsidP="0027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NB Akademie Std">
    <w:altName w:val="﷽﷽﷽﷽﷽﷽﷽﷽mie Std"/>
    <w:panose1 w:val="020B0500050000020004"/>
    <w:charset w:val="4D"/>
    <w:family w:val="swiss"/>
    <w:notTrueType/>
    <w:pitch w:val="variable"/>
    <w:sig w:usb0="A00000AF" w:usb1="50002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242981"/>
      <w:docPartObj>
        <w:docPartGallery w:val="Page Numbers (Bottom of Page)"/>
        <w:docPartUnique/>
      </w:docPartObj>
    </w:sdtPr>
    <w:sdtEndPr>
      <w:rPr>
        <w:rStyle w:val="PageNumber"/>
      </w:rPr>
    </w:sdtEndPr>
    <w:sdtContent>
      <w:p w14:paraId="70CBEACD" w14:textId="77777777" w:rsidR="00DA5D12" w:rsidRDefault="00DA5D12" w:rsidP="00023F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BBA86" w14:textId="77777777" w:rsidR="00DA5D12" w:rsidRDefault="00DA5D12" w:rsidP="000752C0">
    <w:pPr>
      <w:pStyle w:val="Footer"/>
      <w:ind w:right="360"/>
      <w:rPr>
        <w:rStyle w:val="PageNumber"/>
      </w:rPr>
    </w:pPr>
  </w:p>
  <w:p w14:paraId="292F90DB" w14:textId="77777777" w:rsidR="00DA5D12" w:rsidRDefault="00DA5D12" w:rsidP="00277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NB Akademie Std" w:hAnsi="NB Akademie Std"/>
      </w:rPr>
      <w:id w:val="1605388579"/>
      <w:docPartObj>
        <w:docPartGallery w:val="Page Numbers (Bottom of Page)"/>
        <w:docPartUnique/>
      </w:docPartObj>
    </w:sdtPr>
    <w:sdtEndPr>
      <w:rPr>
        <w:rStyle w:val="PageNumber"/>
      </w:rPr>
    </w:sdtEndPr>
    <w:sdtContent>
      <w:p w14:paraId="2233D277" w14:textId="77777777" w:rsidR="00DA5D12" w:rsidRPr="000752C0" w:rsidRDefault="00DA5D12" w:rsidP="00023F85">
        <w:pPr>
          <w:pStyle w:val="Footer"/>
          <w:framePr w:wrap="none" w:vAnchor="text" w:hAnchor="margin" w:xAlign="right" w:y="1"/>
          <w:rPr>
            <w:rStyle w:val="PageNumber"/>
            <w:rFonts w:ascii="NB Akademie Std" w:hAnsi="NB Akademie Std"/>
          </w:rPr>
        </w:pPr>
        <w:r w:rsidRPr="000752C0">
          <w:rPr>
            <w:rStyle w:val="PageNumber"/>
            <w:rFonts w:ascii="NB Akademie Std" w:hAnsi="NB Akademie Std"/>
          </w:rPr>
          <w:fldChar w:fldCharType="begin"/>
        </w:r>
        <w:r w:rsidRPr="000752C0">
          <w:rPr>
            <w:rStyle w:val="PageNumber"/>
            <w:rFonts w:ascii="NB Akademie Std" w:hAnsi="NB Akademie Std"/>
          </w:rPr>
          <w:instrText xml:space="preserve"> PAGE </w:instrText>
        </w:r>
        <w:r w:rsidRPr="000752C0">
          <w:rPr>
            <w:rStyle w:val="PageNumber"/>
            <w:rFonts w:ascii="NB Akademie Std" w:hAnsi="NB Akademie Std"/>
          </w:rPr>
          <w:fldChar w:fldCharType="separate"/>
        </w:r>
        <w:r>
          <w:rPr>
            <w:rStyle w:val="PageNumber"/>
            <w:rFonts w:ascii="NB Akademie Std" w:hAnsi="NB Akademie Std"/>
            <w:noProof/>
          </w:rPr>
          <w:t>1</w:t>
        </w:r>
        <w:r w:rsidRPr="000752C0">
          <w:rPr>
            <w:rStyle w:val="PageNumber"/>
            <w:rFonts w:ascii="NB Akademie Std" w:hAnsi="NB Akademie Std"/>
          </w:rPr>
          <w:fldChar w:fldCharType="end"/>
        </w:r>
      </w:p>
    </w:sdtContent>
  </w:sdt>
  <w:p w14:paraId="391DF267" w14:textId="77777777" w:rsidR="00DA5D12" w:rsidRDefault="00DA5D12" w:rsidP="000752C0">
    <w:pPr>
      <w:pStyle w:val="Footer"/>
      <w:ind w:right="360"/>
      <w:rPr>
        <w:rStyle w:val="PageNumber"/>
      </w:rPr>
    </w:pPr>
  </w:p>
  <w:p w14:paraId="4CE924B8" w14:textId="77777777" w:rsidR="00DA5D12" w:rsidRDefault="00DA5D12" w:rsidP="00277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257406"/>
      <w:docPartObj>
        <w:docPartGallery w:val="Page Numbers (Bottom of Page)"/>
        <w:docPartUnique/>
      </w:docPartObj>
    </w:sdtPr>
    <w:sdtEndPr>
      <w:rPr>
        <w:rStyle w:val="PageNumber"/>
      </w:rPr>
    </w:sdtEndPr>
    <w:sdtContent>
      <w:p w14:paraId="29258723" w14:textId="5933951D" w:rsidR="000752C0" w:rsidRDefault="000752C0" w:rsidP="00023F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C3C367" w14:textId="21E6EB4B" w:rsidR="00277FEA" w:rsidRDefault="00277FEA" w:rsidP="000752C0">
    <w:pPr>
      <w:pStyle w:val="Footer"/>
      <w:ind w:right="360"/>
      <w:rPr>
        <w:rStyle w:val="PageNumber"/>
      </w:rPr>
    </w:pPr>
  </w:p>
  <w:p w14:paraId="312C122C" w14:textId="77777777" w:rsidR="00277FEA" w:rsidRDefault="00277FEA" w:rsidP="00277F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NB Akademie Std" w:hAnsi="NB Akademie Std"/>
      </w:rPr>
      <w:id w:val="-127779996"/>
      <w:docPartObj>
        <w:docPartGallery w:val="Page Numbers (Bottom of Page)"/>
        <w:docPartUnique/>
      </w:docPartObj>
    </w:sdtPr>
    <w:sdtEndPr>
      <w:rPr>
        <w:rStyle w:val="PageNumber"/>
      </w:rPr>
    </w:sdtEndPr>
    <w:sdtContent>
      <w:p w14:paraId="3F9ADC9A" w14:textId="64EBC253" w:rsidR="000752C0" w:rsidRPr="000752C0" w:rsidRDefault="000752C0" w:rsidP="00023F85">
        <w:pPr>
          <w:pStyle w:val="Footer"/>
          <w:framePr w:wrap="none" w:vAnchor="text" w:hAnchor="margin" w:xAlign="right" w:y="1"/>
          <w:rPr>
            <w:rStyle w:val="PageNumber"/>
            <w:rFonts w:ascii="NB Akademie Std" w:hAnsi="NB Akademie Std"/>
          </w:rPr>
        </w:pPr>
        <w:r w:rsidRPr="000752C0">
          <w:rPr>
            <w:rStyle w:val="PageNumber"/>
            <w:rFonts w:ascii="NB Akademie Std" w:hAnsi="NB Akademie Std"/>
          </w:rPr>
          <w:fldChar w:fldCharType="begin"/>
        </w:r>
        <w:r w:rsidRPr="000752C0">
          <w:rPr>
            <w:rStyle w:val="PageNumber"/>
            <w:rFonts w:ascii="NB Akademie Std" w:hAnsi="NB Akademie Std"/>
          </w:rPr>
          <w:instrText xml:space="preserve"> PAGE </w:instrText>
        </w:r>
        <w:r w:rsidRPr="000752C0">
          <w:rPr>
            <w:rStyle w:val="PageNumber"/>
            <w:rFonts w:ascii="NB Akademie Std" w:hAnsi="NB Akademie Std"/>
          </w:rPr>
          <w:fldChar w:fldCharType="separate"/>
        </w:r>
        <w:r w:rsidR="002F5E0E">
          <w:rPr>
            <w:rStyle w:val="PageNumber"/>
            <w:rFonts w:ascii="NB Akademie Std" w:hAnsi="NB Akademie Std"/>
            <w:noProof/>
          </w:rPr>
          <w:t>1</w:t>
        </w:r>
        <w:r w:rsidRPr="000752C0">
          <w:rPr>
            <w:rStyle w:val="PageNumber"/>
            <w:rFonts w:ascii="NB Akademie Std" w:hAnsi="NB Akademie Std"/>
          </w:rPr>
          <w:fldChar w:fldCharType="end"/>
        </w:r>
      </w:p>
    </w:sdtContent>
  </w:sdt>
  <w:p w14:paraId="64D2D73F" w14:textId="6E5D2C18" w:rsidR="00277FEA" w:rsidRDefault="00277FEA" w:rsidP="000752C0">
    <w:pPr>
      <w:pStyle w:val="Footer"/>
      <w:ind w:right="360"/>
      <w:rPr>
        <w:rStyle w:val="PageNumber"/>
      </w:rPr>
    </w:pPr>
  </w:p>
  <w:p w14:paraId="079886C6" w14:textId="77777777" w:rsidR="00277FEA" w:rsidRDefault="00277FEA" w:rsidP="0027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8591" w14:textId="77777777" w:rsidR="004C2945" w:rsidRDefault="004C2945" w:rsidP="00277FEA">
      <w:r>
        <w:separator/>
      </w:r>
    </w:p>
  </w:footnote>
  <w:footnote w:type="continuationSeparator" w:id="0">
    <w:p w14:paraId="4E93CABD" w14:textId="77777777" w:rsidR="004C2945" w:rsidRDefault="004C2945" w:rsidP="0027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95FB" w14:textId="7AC4F8A0" w:rsidR="00C97323" w:rsidRDefault="00C9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9F" w14:textId="7182FA59" w:rsidR="00C97323" w:rsidRDefault="00C9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D6A5" w14:textId="085B2249" w:rsidR="00C97323" w:rsidRDefault="00C97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8C0"/>
    <w:multiLevelType w:val="hybridMultilevel"/>
    <w:tmpl w:val="7DCA3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D3D38"/>
    <w:multiLevelType w:val="hybridMultilevel"/>
    <w:tmpl w:val="81D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A2876"/>
    <w:multiLevelType w:val="hybridMultilevel"/>
    <w:tmpl w:val="EC3C7F46"/>
    <w:lvl w:ilvl="0" w:tplc="25AA6CFA">
      <w:start w:val="1"/>
      <w:numFmt w:val="decimal"/>
      <w:lvlText w:val="%1."/>
      <w:lvlJc w:val="left"/>
      <w:pPr>
        <w:ind w:left="720" w:hanging="360"/>
      </w:pPr>
      <w:rPr>
        <w:rFonts w:hint="default"/>
        <w:b/>
        <w:bCs/>
        <w:color w:val="1A58A8" w:themeColor="accent1"/>
      </w:rPr>
    </w:lvl>
    <w:lvl w:ilvl="1" w:tplc="A27C0206" w:tentative="1">
      <w:start w:val="1"/>
      <w:numFmt w:val="bullet"/>
      <w:lvlText w:val="•"/>
      <w:lvlJc w:val="left"/>
      <w:pPr>
        <w:tabs>
          <w:tab w:val="num" w:pos="1440"/>
        </w:tabs>
        <w:ind w:left="1440" w:hanging="360"/>
      </w:pPr>
      <w:rPr>
        <w:rFonts w:ascii="Times New Roman" w:hAnsi="Times New Roman" w:hint="default"/>
      </w:rPr>
    </w:lvl>
    <w:lvl w:ilvl="2" w:tplc="14647CD2" w:tentative="1">
      <w:start w:val="1"/>
      <w:numFmt w:val="bullet"/>
      <w:lvlText w:val="•"/>
      <w:lvlJc w:val="left"/>
      <w:pPr>
        <w:tabs>
          <w:tab w:val="num" w:pos="2160"/>
        </w:tabs>
        <w:ind w:left="2160" w:hanging="360"/>
      </w:pPr>
      <w:rPr>
        <w:rFonts w:ascii="Times New Roman" w:hAnsi="Times New Roman" w:hint="default"/>
      </w:rPr>
    </w:lvl>
    <w:lvl w:ilvl="3" w:tplc="01D6C652" w:tentative="1">
      <w:start w:val="1"/>
      <w:numFmt w:val="bullet"/>
      <w:lvlText w:val="•"/>
      <w:lvlJc w:val="left"/>
      <w:pPr>
        <w:tabs>
          <w:tab w:val="num" w:pos="2880"/>
        </w:tabs>
        <w:ind w:left="2880" w:hanging="360"/>
      </w:pPr>
      <w:rPr>
        <w:rFonts w:ascii="Times New Roman" w:hAnsi="Times New Roman" w:hint="default"/>
      </w:rPr>
    </w:lvl>
    <w:lvl w:ilvl="4" w:tplc="ACCA3F0E" w:tentative="1">
      <w:start w:val="1"/>
      <w:numFmt w:val="bullet"/>
      <w:lvlText w:val="•"/>
      <w:lvlJc w:val="left"/>
      <w:pPr>
        <w:tabs>
          <w:tab w:val="num" w:pos="3600"/>
        </w:tabs>
        <w:ind w:left="3600" w:hanging="360"/>
      </w:pPr>
      <w:rPr>
        <w:rFonts w:ascii="Times New Roman" w:hAnsi="Times New Roman" w:hint="default"/>
      </w:rPr>
    </w:lvl>
    <w:lvl w:ilvl="5" w:tplc="70469354" w:tentative="1">
      <w:start w:val="1"/>
      <w:numFmt w:val="bullet"/>
      <w:lvlText w:val="•"/>
      <w:lvlJc w:val="left"/>
      <w:pPr>
        <w:tabs>
          <w:tab w:val="num" w:pos="4320"/>
        </w:tabs>
        <w:ind w:left="4320" w:hanging="360"/>
      </w:pPr>
      <w:rPr>
        <w:rFonts w:ascii="Times New Roman" w:hAnsi="Times New Roman" w:hint="default"/>
      </w:rPr>
    </w:lvl>
    <w:lvl w:ilvl="6" w:tplc="7ACA36C4" w:tentative="1">
      <w:start w:val="1"/>
      <w:numFmt w:val="bullet"/>
      <w:lvlText w:val="•"/>
      <w:lvlJc w:val="left"/>
      <w:pPr>
        <w:tabs>
          <w:tab w:val="num" w:pos="5040"/>
        </w:tabs>
        <w:ind w:left="5040" w:hanging="360"/>
      </w:pPr>
      <w:rPr>
        <w:rFonts w:ascii="Times New Roman" w:hAnsi="Times New Roman" w:hint="default"/>
      </w:rPr>
    </w:lvl>
    <w:lvl w:ilvl="7" w:tplc="840412E6" w:tentative="1">
      <w:start w:val="1"/>
      <w:numFmt w:val="bullet"/>
      <w:lvlText w:val="•"/>
      <w:lvlJc w:val="left"/>
      <w:pPr>
        <w:tabs>
          <w:tab w:val="num" w:pos="5760"/>
        </w:tabs>
        <w:ind w:left="5760" w:hanging="360"/>
      </w:pPr>
      <w:rPr>
        <w:rFonts w:ascii="Times New Roman" w:hAnsi="Times New Roman" w:hint="default"/>
      </w:rPr>
    </w:lvl>
    <w:lvl w:ilvl="8" w:tplc="802CAF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3C0E62"/>
    <w:multiLevelType w:val="hybridMultilevel"/>
    <w:tmpl w:val="CE8C5FAE"/>
    <w:lvl w:ilvl="0" w:tplc="8BA0099E">
      <w:start w:val="1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27802"/>
    <w:multiLevelType w:val="hybridMultilevel"/>
    <w:tmpl w:val="B5203FE2"/>
    <w:lvl w:ilvl="0" w:tplc="08090001">
      <w:start w:val="1"/>
      <w:numFmt w:val="bullet"/>
      <w:lvlText w:val=""/>
      <w:lvlJc w:val="left"/>
      <w:pPr>
        <w:ind w:left="720" w:hanging="360"/>
      </w:pPr>
      <w:rPr>
        <w:rFonts w:ascii="Symbol" w:hAnsi="Symbol" w:hint="default"/>
      </w:rPr>
    </w:lvl>
    <w:lvl w:ilvl="1" w:tplc="3D264AA0">
      <w:numFmt w:val="bullet"/>
      <w:lvlText w:val="•"/>
      <w:lvlJc w:val="left"/>
      <w:pPr>
        <w:ind w:left="1800" w:hanging="720"/>
      </w:pPr>
      <w:rPr>
        <w:rFonts w:ascii="NB Akademie Std" w:eastAsia="Arial" w:hAnsi="NB Akademie Std"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154FE"/>
    <w:multiLevelType w:val="hybridMultilevel"/>
    <w:tmpl w:val="9628FEDC"/>
    <w:lvl w:ilvl="0" w:tplc="5B264EBA">
      <w:numFmt w:val="bullet"/>
      <w:lvlText w:val="-"/>
      <w:lvlJc w:val="left"/>
      <w:pPr>
        <w:ind w:left="720" w:hanging="360"/>
      </w:pPr>
      <w:rPr>
        <w:rFonts w:ascii="NB Akademie Std" w:eastAsia="Arial" w:hAnsi="NB Akademie Std" w:cs="Arial" w:hint="default"/>
        <w:b/>
        <w:color w:val="349D9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937BC"/>
    <w:multiLevelType w:val="hybridMultilevel"/>
    <w:tmpl w:val="A96A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A30D2"/>
    <w:multiLevelType w:val="hybridMultilevel"/>
    <w:tmpl w:val="EC3C7F46"/>
    <w:lvl w:ilvl="0" w:tplc="25AA6CFA">
      <w:start w:val="1"/>
      <w:numFmt w:val="decimal"/>
      <w:lvlText w:val="%1."/>
      <w:lvlJc w:val="left"/>
      <w:pPr>
        <w:ind w:left="720" w:hanging="360"/>
      </w:pPr>
      <w:rPr>
        <w:rFonts w:hint="default"/>
        <w:b/>
        <w:bCs/>
        <w:color w:val="1A58A8" w:themeColor="accent1"/>
      </w:rPr>
    </w:lvl>
    <w:lvl w:ilvl="1" w:tplc="A27C0206" w:tentative="1">
      <w:start w:val="1"/>
      <w:numFmt w:val="bullet"/>
      <w:lvlText w:val="•"/>
      <w:lvlJc w:val="left"/>
      <w:pPr>
        <w:tabs>
          <w:tab w:val="num" w:pos="1440"/>
        </w:tabs>
        <w:ind w:left="1440" w:hanging="360"/>
      </w:pPr>
      <w:rPr>
        <w:rFonts w:ascii="Times New Roman" w:hAnsi="Times New Roman" w:hint="default"/>
      </w:rPr>
    </w:lvl>
    <w:lvl w:ilvl="2" w:tplc="14647CD2" w:tentative="1">
      <w:start w:val="1"/>
      <w:numFmt w:val="bullet"/>
      <w:lvlText w:val="•"/>
      <w:lvlJc w:val="left"/>
      <w:pPr>
        <w:tabs>
          <w:tab w:val="num" w:pos="2160"/>
        </w:tabs>
        <w:ind w:left="2160" w:hanging="360"/>
      </w:pPr>
      <w:rPr>
        <w:rFonts w:ascii="Times New Roman" w:hAnsi="Times New Roman" w:hint="default"/>
      </w:rPr>
    </w:lvl>
    <w:lvl w:ilvl="3" w:tplc="01D6C652" w:tentative="1">
      <w:start w:val="1"/>
      <w:numFmt w:val="bullet"/>
      <w:lvlText w:val="•"/>
      <w:lvlJc w:val="left"/>
      <w:pPr>
        <w:tabs>
          <w:tab w:val="num" w:pos="2880"/>
        </w:tabs>
        <w:ind w:left="2880" w:hanging="360"/>
      </w:pPr>
      <w:rPr>
        <w:rFonts w:ascii="Times New Roman" w:hAnsi="Times New Roman" w:hint="default"/>
      </w:rPr>
    </w:lvl>
    <w:lvl w:ilvl="4" w:tplc="ACCA3F0E" w:tentative="1">
      <w:start w:val="1"/>
      <w:numFmt w:val="bullet"/>
      <w:lvlText w:val="•"/>
      <w:lvlJc w:val="left"/>
      <w:pPr>
        <w:tabs>
          <w:tab w:val="num" w:pos="3600"/>
        </w:tabs>
        <w:ind w:left="3600" w:hanging="360"/>
      </w:pPr>
      <w:rPr>
        <w:rFonts w:ascii="Times New Roman" w:hAnsi="Times New Roman" w:hint="default"/>
      </w:rPr>
    </w:lvl>
    <w:lvl w:ilvl="5" w:tplc="70469354" w:tentative="1">
      <w:start w:val="1"/>
      <w:numFmt w:val="bullet"/>
      <w:lvlText w:val="•"/>
      <w:lvlJc w:val="left"/>
      <w:pPr>
        <w:tabs>
          <w:tab w:val="num" w:pos="4320"/>
        </w:tabs>
        <w:ind w:left="4320" w:hanging="360"/>
      </w:pPr>
      <w:rPr>
        <w:rFonts w:ascii="Times New Roman" w:hAnsi="Times New Roman" w:hint="default"/>
      </w:rPr>
    </w:lvl>
    <w:lvl w:ilvl="6" w:tplc="7ACA36C4" w:tentative="1">
      <w:start w:val="1"/>
      <w:numFmt w:val="bullet"/>
      <w:lvlText w:val="•"/>
      <w:lvlJc w:val="left"/>
      <w:pPr>
        <w:tabs>
          <w:tab w:val="num" w:pos="5040"/>
        </w:tabs>
        <w:ind w:left="5040" w:hanging="360"/>
      </w:pPr>
      <w:rPr>
        <w:rFonts w:ascii="Times New Roman" w:hAnsi="Times New Roman" w:hint="default"/>
      </w:rPr>
    </w:lvl>
    <w:lvl w:ilvl="7" w:tplc="840412E6" w:tentative="1">
      <w:start w:val="1"/>
      <w:numFmt w:val="bullet"/>
      <w:lvlText w:val="•"/>
      <w:lvlJc w:val="left"/>
      <w:pPr>
        <w:tabs>
          <w:tab w:val="num" w:pos="5760"/>
        </w:tabs>
        <w:ind w:left="5760" w:hanging="360"/>
      </w:pPr>
      <w:rPr>
        <w:rFonts w:ascii="Times New Roman" w:hAnsi="Times New Roman" w:hint="default"/>
      </w:rPr>
    </w:lvl>
    <w:lvl w:ilvl="8" w:tplc="802CAFC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F12E9A"/>
    <w:multiLevelType w:val="hybridMultilevel"/>
    <w:tmpl w:val="214C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5114D"/>
    <w:multiLevelType w:val="hybridMultilevel"/>
    <w:tmpl w:val="E534989C"/>
    <w:lvl w:ilvl="0" w:tplc="561852A4">
      <w:start w:val="1"/>
      <w:numFmt w:val="decimal"/>
      <w:lvlText w:val="%1"/>
      <w:lvlJc w:val="left"/>
      <w:pPr>
        <w:ind w:left="360" w:hanging="360"/>
      </w:pPr>
      <w:rPr>
        <w:rFonts w:hint="default"/>
        <w:color w:val="349D9C"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816CC3"/>
    <w:multiLevelType w:val="hybridMultilevel"/>
    <w:tmpl w:val="6E344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26041B"/>
    <w:multiLevelType w:val="hybridMultilevel"/>
    <w:tmpl w:val="90881970"/>
    <w:lvl w:ilvl="0" w:tplc="561852A4">
      <w:start w:val="1"/>
      <w:numFmt w:val="decimal"/>
      <w:lvlText w:val="%1"/>
      <w:lvlJc w:val="left"/>
      <w:pPr>
        <w:ind w:left="360" w:hanging="360"/>
      </w:pPr>
      <w:rPr>
        <w:rFonts w:hint="default"/>
        <w:color w:val="349D9C"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7B3F53"/>
    <w:multiLevelType w:val="hybridMultilevel"/>
    <w:tmpl w:val="4A38B09C"/>
    <w:lvl w:ilvl="0" w:tplc="4B9AC39C">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F2C59"/>
    <w:multiLevelType w:val="hybridMultilevel"/>
    <w:tmpl w:val="3446B22A"/>
    <w:lvl w:ilvl="0" w:tplc="B9C0A0DA">
      <w:start w:val="1"/>
      <w:numFmt w:val="decimal"/>
      <w:lvlText w:val="%1."/>
      <w:lvlJc w:val="left"/>
      <w:pPr>
        <w:ind w:left="720" w:hanging="360"/>
      </w:pPr>
      <w:rPr>
        <w:rFonts w:ascii="Times New Roman" w:eastAsiaTheme="minorHAnsi" w:hAnsi="Times New Roman" w:cs="Times New Roman" w:hint="default"/>
        <w:b w:val="0"/>
        <w:color w:val="231F2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D510C"/>
    <w:multiLevelType w:val="hybridMultilevel"/>
    <w:tmpl w:val="DAD22F78"/>
    <w:lvl w:ilvl="0" w:tplc="CE2E654E">
      <w:start w:val="1"/>
      <w:numFmt w:val="bullet"/>
      <w:lvlText w:val="-"/>
      <w:lvlJc w:val="left"/>
      <w:pPr>
        <w:ind w:left="720" w:hanging="360"/>
      </w:pPr>
      <w:rPr>
        <w:rFonts w:ascii="NB Akademie Std" w:eastAsia="Arial" w:hAnsi="NB Akademie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C2010"/>
    <w:multiLevelType w:val="hybridMultilevel"/>
    <w:tmpl w:val="922A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45A1C"/>
    <w:multiLevelType w:val="hybridMultilevel"/>
    <w:tmpl w:val="7DF6C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4F56B8"/>
    <w:multiLevelType w:val="hybridMultilevel"/>
    <w:tmpl w:val="198EC74E"/>
    <w:lvl w:ilvl="0" w:tplc="E1643B18">
      <w:start w:val="1"/>
      <w:numFmt w:val="bullet"/>
      <w:lvlText w:val="-"/>
      <w:lvlJc w:val="left"/>
      <w:pPr>
        <w:ind w:left="720" w:hanging="360"/>
      </w:pPr>
      <w:rPr>
        <w:rFonts w:ascii="NB Akademie Std" w:eastAsia="Arial" w:hAnsi="NB Akademie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9689E"/>
    <w:multiLevelType w:val="hybridMultilevel"/>
    <w:tmpl w:val="6B0C0C6A"/>
    <w:lvl w:ilvl="0" w:tplc="85DE3194">
      <w:start w:val="1"/>
      <w:numFmt w:val="bullet"/>
      <w:lvlText w:val="•"/>
      <w:lvlJc w:val="left"/>
      <w:pPr>
        <w:tabs>
          <w:tab w:val="num" w:pos="720"/>
        </w:tabs>
        <w:ind w:left="720" w:hanging="360"/>
      </w:pPr>
      <w:rPr>
        <w:rFonts w:ascii="NB Akademie Std" w:hAnsi="NB Akademie Std" w:hint="default"/>
      </w:rPr>
    </w:lvl>
    <w:lvl w:ilvl="1" w:tplc="4B9AC39C">
      <w:numFmt w:val="bullet"/>
      <w:lvlText w:val="❑"/>
      <w:lvlJc w:val="left"/>
      <w:pPr>
        <w:tabs>
          <w:tab w:val="num" w:pos="1440"/>
        </w:tabs>
        <w:ind w:left="1440" w:hanging="360"/>
      </w:pPr>
      <w:rPr>
        <w:rFonts w:ascii="Segoe UI Symbol" w:hAnsi="Segoe UI Symbol" w:hint="default"/>
      </w:rPr>
    </w:lvl>
    <w:lvl w:ilvl="2" w:tplc="DC32FBC6">
      <w:start w:val="1"/>
      <w:numFmt w:val="bullet"/>
      <w:lvlText w:val="•"/>
      <w:lvlJc w:val="left"/>
      <w:pPr>
        <w:tabs>
          <w:tab w:val="num" w:pos="2160"/>
        </w:tabs>
        <w:ind w:left="2160" w:hanging="360"/>
      </w:pPr>
      <w:rPr>
        <w:rFonts w:ascii="NB Akademie Std" w:hAnsi="NB Akademie Std" w:hint="default"/>
      </w:rPr>
    </w:lvl>
    <w:lvl w:ilvl="3" w:tplc="8ABCDDEA" w:tentative="1">
      <w:start w:val="1"/>
      <w:numFmt w:val="bullet"/>
      <w:lvlText w:val="•"/>
      <w:lvlJc w:val="left"/>
      <w:pPr>
        <w:tabs>
          <w:tab w:val="num" w:pos="2880"/>
        </w:tabs>
        <w:ind w:left="2880" w:hanging="360"/>
      </w:pPr>
      <w:rPr>
        <w:rFonts w:ascii="NB Akademie Std" w:hAnsi="NB Akademie Std" w:hint="default"/>
      </w:rPr>
    </w:lvl>
    <w:lvl w:ilvl="4" w:tplc="E03888DA" w:tentative="1">
      <w:start w:val="1"/>
      <w:numFmt w:val="bullet"/>
      <w:lvlText w:val="•"/>
      <w:lvlJc w:val="left"/>
      <w:pPr>
        <w:tabs>
          <w:tab w:val="num" w:pos="3600"/>
        </w:tabs>
        <w:ind w:left="3600" w:hanging="360"/>
      </w:pPr>
      <w:rPr>
        <w:rFonts w:ascii="NB Akademie Std" w:hAnsi="NB Akademie Std" w:hint="default"/>
      </w:rPr>
    </w:lvl>
    <w:lvl w:ilvl="5" w:tplc="A3BCF08C" w:tentative="1">
      <w:start w:val="1"/>
      <w:numFmt w:val="bullet"/>
      <w:lvlText w:val="•"/>
      <w:lvlJc w:val="left"/>
      <w:pPr>
        <w:tabs>
          <w:tab w:val="num" w:pos="4320"/>
        </w:tabs>
        <w:ind w:left="4320" w:hanging="360"/>
      </w:pPr>
      <w:rPr>
        <w:rFonts w:ascii="NB Akademie Std" w:hAnsi="NB Akademie Std" w:hint="default"/>
      </w:rPr>
    </w:lvl>
    <w:lvl w:ilvl="6" w:tplc="B0043138" w:tentative="1">
      <w:start w:val="1"/>
      <w:numFmt w:val="bullet"/>
      <w:lvlText w:val="•"/>
      <w:lvlJc w:val="left"/>
      <w:pPr>
        <w:tabs>
          <w:tab w:val="num" w:pos="5040"/>
        </w:tabs>
        <w:ind w:left="5040" w:hanging="360"/>
      </w:pPr>
      <w:rPr>
        <w:rFonts w:ascii="NB Akademie Std" w:hAnsi="NB Akademie Std" w:hint="default"/>
      </w:rPr>
    </w:lvl>
    <w:lvl w:ilvl="7" w:tplc="B10EF852" w:tentative="1">
      <w:start w:val="1"/>
      <w:numFmt w:val="bullet"/>
      <w:lvlText w:val="•"/>
      <w:lvlJc w:val="left"/>
      <w:pPr>
        <w:tabs>
          <w:tab w:val="num" w:pos="5760"/>
        </w:tabs>
        <w:ind w:left="5760" w:hanging="360"/>
      </w:pPr>
      <w:rPr>
        <w:rFonts w:ascii="NB Akademie Std" w:hAnsi="NB Akademie Std" w:hint="default"/>
      </w:rPr>
    </w:lvl>
    <w:lvl w:ilvl="8" w:tplc="11AA1362" w:tentative="1">
      <w:start w:val="1"/>
      <w:numFmt w:val="bullet"/>
      <w:lvlText w:val="•"/>
      <w:lvlJc w:val="left"/>
      <w:pPr>
        <w:tabs>
          <w:tab w:val="num" w:pos="6480"/>
        </w:tabs>
        <w:ind w:left="6480" w:hanging="360"/>
      </w:pPr>
      <w:rPr>
        <w:rFonts w:ascii="NB Akademie Std" w:hAnsi="NB Akademie Std" w:hint="default"/>
      </w:rPr>
    </w:lvl>
  </w:abstractNum>
  <w:abstractNum w:abstractNumId="19" w15:restartNumberingAfterBreak="0">
    <w:nsid w:val="7A8814D5"/>
    <w:multiLevelType w:val="hybridMultilevel"/>
    <w:tmpl w:val="82AA2A9E"/>
    <w:lvl w:ilvl="0" w:tplc="4B9AC39C">
      <w:numFmt w:val="bullet"/>
      <w:lvlText w:val="❑"/>
      <w:lvlJc w:val="left"/>
      <w:pPr>
        <w:ind w:left="144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5"/>
  </w:num>
  <w:num w:numId="5">
    <w:abstractNumId w:val="13"/>
  </w:num>
  <w:num w:numId="6">
    <w:abstractNumId w:val="4"/>
  </w:num>
  <w:num w:numId="7">
    <w:abstractNumId w:val="14"/>
  </w:num>
  <w:num w:numId="8">
    <w:abstractNumId w:val="12"/>
  </w:num>
  <w:num w:numId="9">
    <w:abstractNumId w:val="6"/>
  </w:num>
  <w:num w:numId="10">
    <w:abstractNumId w:val="15"/>
  </w:num>
  <w:num w:numId="11">
    <w:abstractNumId w:val="2"/>
  </w:num>
  <w:num w:numId="12">
    <w:abstractNumId w:val="7"/>
  </w:num>
  <w:num w:numId="13">
    <w:abstractNumId w:val="3"/>
  </w:num>
  <w:num w:numId="14">
    <w:abstractNumId w:val="8"/>
  </w:num>
  <w:num w:numId="15">
    <w:abstractNumId w:val="10"/>
  </w:num>
  <w:num w:numId="16">
    <w:abstractNumId w:val="17"/>
  </w:num>
  <w:num w:numId="17">
    <w:abstractNumId w:val="16"/>
  </w:num>
  <w:num w:numId="18">
    <w:abstractNumId w:val="1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AF"/>
    <w:rsid w:val="000155EB"/>
    <w:rsid w:val="00031EE7"/>
    <w:rsid w:val="00074F2D"/>
    <w:rsid w:val="000752C0"/>
    <w:rsid w:val="001322F0"/>
    <w:rsid w:val="001559E1"/>
    <w:rsid w:val="001633A5"/>
    <w:rsid w:val="00167E94"/>
    <w:rsid w:val="001961F4"/>
    <w:rsid w:val="001A5DC3"/>
    <w:rsid w:val="001D58AF"/>
    <w:rsid w:val="001F627C"/>
    <w:rsid w:val="0026763C"/>
    <w:rsid w:val="00277FEA"/>
    <w:rsid w:val="00295A58"/>
    <w:rsid w:val="002C6108"/>
    <w:rsid w:val="002F5E0E"/>
    <w:rsid w:val="00385E74"/>
    <w:rsid w:val="003A1151"/>
    <w:rsid w:val="003D0584"/>
    <w:rsid w:val="004503EC"/>
    <w:rsid w:val="0045165E"/>
    <w:rsid w:val="0046366B"/>
    <w:rsid w:val="00490CF0"/>
    <w:rsid w:val="004C2945"/>
    <w:rsid w:val="0052091E"/>
    <w:rsid w:val="00530895"/>
    <w:rsid w:val="00537E9E"/>
    <w:rsid w:val="00553BC3"/>
    <w:rsid w:val="0058609D"/>
    <w:rsid w:val="005A41AA"/>
    <w:rsid w:val="005D69BA"/>
    <w:rsid w:val="00614ADE"/>
    <w:rsid w:val="00681D98"/>
    <w:rsid w:val="006B585A"/>
    <w:rsid w:val="006B7C8C"/>
    <w:rsid w:val="006F37C3"/>
    <w:rsid w:val="00775575"/>
    <w:rsid w:val="008324B0"/>
    <w:rsid w:val="00864D60"/>
    <w:rsid w:val="008C0D68"/>
    <w:rsid w:val="00923A92"/>
    <w:rsid w:val="009736A5"/>
    <w:rsid w:val="00977C43"/>
    <w:rsid w:val="00984F7B"/>
    <w:rsid w:val="009B5B69"/>
    <w:rsid w:val="009E38C7"/>
    <w:rsid w:val="009F2B99"/>
    <w:rsid w:val="00A25030"/>
    <w:rsid w:val="00A4704E"/>
    <w:rsid w:val="00A97AB7"/>
    <w:rsid w:val="00AA36E7"/>
    <w:rsid w:val="00AB754E"/>
    <w:rsid w:val="00AD1540"/>
    <w:rsid w:val="00AF6A20"/>
    <w:rsid w:val="00B34786"/>
    <w:rsid w:val="00B6019E"/>
    <w:rsid w:val="00B75208"/>
    <w:rsid w:val="00C41661"/>
    <w:rsid w:val="00C41664"/>
    <w:rsid w:val="00C54D1C"/>
    <w:rsid w:val="00C73EE6"/>
    <w:rsid w:val="00C97323"/>
    <w:rsid w:val="00CA31EE"/>
    <w:rsid w:val="00CE1C23"/>
    <w:rsid w:val="00CF3CC0"/>
    <w:rsid w:val="00D53655"/>
    <w:rsid w:val="00DA5D12"/>
    <w:rsid w:val="00E11783"/>
    <w:rsid w:val="00E57B9D"/>
    <w:rsid w:val="00EA131A"/>
    <w:rsid w:val="00EB54B8"/>
    <w:rsid w:val="00EC1721"/>
    <w:rsid w:val="00EE4E06"/>
    <w:rsid w:val="00F47069"/>
    <w:rsid w:val="00F73BFE"/>
    <w:rsid w:val="00F82727"/>
    <w:rsid w:val="00FF3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C9CC"/>
  <w15:chartTrackingRefBased/>
  <w15:docId w15:val="{1F130641-5B54-6F40-8AAA-8865A4DD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EA"/>
    <w:pPr>
      <w:widowControl w:val="0"/>
      <w:spacing w:after="120" w:line="276" w:lineRule="auto"/>
    </w:pPr>
    <w:rPr>
      <w:rFonts w:ascii="NB Akademie Std" w:eastAsia="Arial" w:hAnsi="NB Akademie Std" w:cs="Arial"/>
      <w:bCs/>
      <w:color w:val="434343"/>
      <w:sz w:val="21"/>
      <w:szCs w:val="21"/>
      <w:lang w:val="en-GB" w:eastAsia="en-GB"/>
    </w:rPr>
  </w:style>
  <w:style w:type="paragraph" w:styleId="Heading1">
    <w:name w:val="heading 1"/>
    <w:basedOn w:val="Normal"/>
    <w:next w:val="Normal"/>
    <w:link w:val="Heading1Char"/>
    <w:uiPriority w:val="9"/>
    <w:qFormat/>
    <w:rsid w:val="00277FEA"/>
    <w:pPr>
      <w:spacing w:line="264" w:lineRule="auto"/>
      <w:outlineLvl w:val="0"/>
    </w:pPr>
    <w:rPr>
      <w:b/>
      <w:color w:val="319DD3" w:themeColor="accent3"/>
      <w:sz w:val="36"/>
      <w:szCs w:val="36"/>
    </w:rPr>
  </w:style>
  <w:style w:type="paragraph" w:styleId="Heading2">
    <w:name w:val="heading 2"/>
    <w:basedOn w:val="Normal"/>
    <w:next w:val="Normal"/>
    <w:link w:val="Heading2Char"/>
    <w:uiPriority w:val="9"/>
    <w:unhideWhenUsed/>
    <w:qFormat/>
    <w:rsid w:val="00277FEA"/>
    <w:pPr>
      <w:outlineLvl w:val="1"/>
    </w:pPr>
    <w:rPr>
      <w:b/>
      <w:color w:val="349D9C" w:themeColor="accent2"/>
      <w:sz w:val="28"/>
      <w:szCs w:val="28"/>
    </w:rPr>
  </w:style>
  <w:style w:type="paragraph" w:styleId="Heading3">
    <w:name w:val="heading 3"/>
    <w:basedOn w:val="Normal"/>
    <w:next w:val="Normal"/>
    <w:link w:val="Heading3Char"/>
    <w:uiPriority w:val="9"/>
    <w:unhideWhenUsed/>
    <w:qFormat/>
    <w:rsid w:val="00277FEA"/>
    <w:pPr>
      <w:keepNext/>
      <w:keepLines/>
      <w:spacing w:before="40" w:line="240" w:lineRule="auto"/>
      <w:outlineLvl w:val="2"/>
    </w:pPr>
    <w:rPr>
      <w:rFonts w:asciiTheme="majorHAnsi" w:eastAsiaTheme="majorEastAsia" w:hAnsiTheme="majorHAnsi" w:cstheme="majorBidi"/>
      <w:color w:val="0D2B53" w:themeColor="accent1" w:themeShade="7F"/>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nedTable">
    <w:name w:val="Lined Table"/>
    <w:basedOn w:val="TableNormal"/>
    <w:uiPriority w:val="99"/>
    <w:rsid w:val="00FF3AFE"/>
    <w:rPr>
      <w:sz w:val="22"/>
      <w:szCs w:val="22"/>
    </w:rPr>
    <w:tblPr>
      <w:tblStyleRowBandSize w:val="1"/>
      <w:tblStyleColBandSize w:val="1"/>
      <w:tblBorders>
        <w:bottom w:val="single" w:sz="18" w:space="0" w:color="0F4BEB"/>
        <w:insideH w:val="single" w:sz="4" w:space="0" w:color="F2F2F2"/>
      </w:tblBorders>
      <w:tblCellMar>
        <w:left w:w="0" w:type="dxa"/>
        <w:right w:w="142" w:type="dxa"/>
      </w:tblCellMar>
    </w:tblPr>
    <w:trPr>
      <w:cantSplit/>
    </w:trPr>
    <w:tcPr>
      <w:shd w:val="clear" w:color="auto" w:fill="auto"/>
    </w:tcPr>
    <w:tblStylePr w:type="firstRow">
      <w:rPr>
        <w:color w:val="0F4BEB"/>
      </w:rPr>
      <w:tblPr/>
      <w:tcPr>
        <w:tcBorders>
          <w:top w:val="single" w:sz="18" w:space="0" w:color="0F4BEB"/>
          <w:bottom w:val="single" w:sz="18" w:space="0" w:color="0F4BEB"/>
        </w:tcBorders>
        <w:shd w:val="clear" w:color="auto" w:fill="auto"/>
      </w:tcPr>
    </w:tblStylePr>
    <w:tblStylePr w:type="lastRow">
      <w:rPr>
        <w:b/>
      </w:rPr>
      <w:tblPr/>
      <w:tcPr>
        <w:tcBorders>
          <w:top w:val="single" w:sz="18" w:space="0" w:color="0F4BEB"/>
        </w:tcBorders>
        <w:shd w:val="clear" w:color="auto" w:fill="auto"/>
      </w:tcPr>
    </w:tblStylePr>
    <w:tblStylePr w:type="firstCol">
      <w:rPr>
        <w:color w:val="0F4BEB"/>
      </w:rPr>
      <w:tblPr/>
      <w:tcPr>
        <w:tcBorders>
          <w:top w:val="nil"/>
          <w:left w:val="nil"/>
          <w:bottom w:val="nil"/>
          <w:right w:val="nil"/>
          <w:insideH w:val="nil"/>
          <w:insideV w:val="nil"/>
          <w:tl2br w:val="nil"/>
          <w:tr2bl w:val="nil"/>
        </w:tcBorders>
        <w:shd w:val="clear" w:color="auto" w:fill="auto"/>
      </w:tcPr>
    </w:tblStylePr>
    <w:tblStylePr w:type="lastCol">
      <w:tblPr/>
      <w:tcPr>
        <w:shd w:val="clear" w:color="auto" w:fill="F9F9F9"/>
      </w:tcPr>
    </w:tblStylePr>
    <w:tblStylePr w:type="band2Vert">
      <w:tblPr/>
      <w:tcPr>
        <w:shd w:val="clear" w:color="auto" w:fill="FCFCFC"/>
      </w:tcPr>
    </w:tblStylePr>
    <w:tblStylePr w:type="band2Horz">
      <w:tblPr/>
      <w:tcPr>
        <w:shd w:val="clear" w:color="auto" w:fill="FCFCFC"/>
      </w:tcPr>
    </w:tblStylePr>
  </w:style>
  <w:style w:type="paragraph" w:styleId="ListParagraph">
    <w:name w:val="List Paragraph"/>
    <w:basedOn w:val="Normal"/>
    <w:uiPriority w:val="34"/>
    <w:qFormat/>
    <w:rsid w:val="00AB754E"/>
    <w:pPr>
      <w:ind w:left="720"/>
      <w:contextualSpacing/>
    </w:pPr>
  </w:style>
  <w:style w:type="character" w:styleId="Hyperlink">
    <w:name w:val="Hyperlink"/>
    <w:basedOn w:val="DefaultParagraphFont"/>
    <w:uiPriority w:val="99"/>
    <w:unhideWhenUsed/>
    <w:rsid w:val="009E38C7"/>
    <w:rPr>
      <w:color w:val="00B7E0" w:themeColor="hyperlink"/>
      <w:u w:val="single"/>
    </w:rPr>
  </w:style>
  <w:style w:type="character" w:customStyle="1" w:styleId="UnresolvedMention1">
    <w:name w:val="Unresolved Mention1"/>
    <w:basedOn w:val="DefaultParagraphFont"/>
    <w:uiPriority w:val="99"/>
    <w:semiHidden/>
    <w:unhideWhenUsed/>
    <w:rsid w:val="009E38C7"/>
    <w:rPr>
      <w:color w:val="605E5C"/>
      <w:shd w:val="clear" w:color="auto" w:fill="E1DFDD"/>
    </w:rPr>
  </w:style>
  <w:style w:type="character" w:customStyle="1" w:styleId="Heading1Char">
    <w:name w:val="Heading 1 Char"/>
    <w:basedOn w:val="DefaultParagraphFont"/>
    <w:link w:val="Heading1"/>
    <w:uiPriority w:val="9"/>
    <w:rsid w:val="00277FEA"/>
    <w:rPr>
      <w:rFonts w:ascii="NB Akademie Std" w:eastAsia="Arial" w:hAnsi="NB Akademie Std" w:cs="Arial"/>
      <w:b/>
      <w:bCs/>
      <w:color w:val="319DD3" w:themeColor="accent3"/>
      <w:sz w:val="36"/>
      <w:szCs w:val="36"/>
      <w:lang w:val="en-GB" w:eastAsia="en-GB"/>
    </w:rPr>
  </w:style>
  <w:style w:type="character" w:customStyle="1" w:styleId="Heading2Char">
    <w:name w:val="Heading 2 Char"/>
    <w:basedOn w:val="DefaultParagraphFont"/>
    <w:link w:val="Heading2"/>
    <w:uiPriority w:val="9"/>
    <w:rsid w:val="00277FEA"/>
    <w:rPr>
      <w:rFonts w:ascii="NB Akademie Std" w:eastAsia="Arial" w:hAnsi="NB Akademie Std" w:cs="Arial"/>
      <w:b/>
      <w:bCs/>
      <w:color w:val="349D9C" w:themeColor="accent2"/>
      <w:sz w:val="28"/>
      <w:szCs w:val="28"/>
      <w:lang w:val="en-GB" w:eastAsia="en-GB"/>
    </w:rPr>
  </w:style>
  <w:style w:type="character" w:customStyle="1" w:styleId="Heading3Char">
    <w:name w:val="Heading 3 Char"/>
    <w:basedOn w:val="DefaultParagraphFont"/>
    <w:link w:val="Heading3"/>
    <w:uiPriority w:val="9"/>
    <w:rsid w:val="00277FEA"/>
    <w:rPr>
      <w:rFonts w:asciiTheme="majorHAnsi" w:eastAsiaTheme="majorEastAsia" w:hAnsiTheme="majorHAnsi" w:cstheme="majorBidi"/>
      <w:color w:val="0D2B53" w:themeColor="accent1" w:themeShade="7F"/>
      <w:sz w:val="20"/>
      <w:lang w:val="en-US"/>
    </w:rPr>
  </w:style>
  <w:style w:type="paragraph" w:styleId="Footer">
    <w:name w:val="footer"/>
    <w:basedOn w:val="Normal"/>
    <w:link w:val="FooterChar"/>
    <w:unhideWhenUsed/>
    <w:rsid w:val="00277FEA"/>
    <w:pPr>
      <w:tabs>
        <w:tab w:val="center" w:pos="4680"/>
        <w:tab w:val="right" w:pos="9360"/>
      </w:tabs>
      <w:spacing w:line="240" w:lineRule="auto"/>
    </w:pPr>
    <w:rPr>
      <w:rFonts w:asciiTheme="majorHAnsi" w:eastAsia="Times New Roman" w:hAnsiTheme="majorHAnsi" w:cs="Times New Roman"/>
      <w:color w:val="auto"/>
      <w:szCs w:val="24"/>
      <w:lang w:val="en-US" w:eastAsia="en-US"/>
    </w:rPr>
  </w:style>
  <w:style w:type="character" w:customStyle="1" w:styleId="FooterChar">
    <w:name w:val="Footer Char"/>
    <w:basedOn w:val="DefaultParagraphFont"/>
    <w:link w:val="Footer"/>
    <w:rsid w:val="00277FEA"/>
    <w:rPr>
      <w:rFonts w:asciiTheme="majorHAnsi" w:eastAsia="Times New Roman" w:hAnsiTheme="majorHAnsi" w:cs="Times New Roman"/>
      <w:sz w:val="20"/>
      <w:lang w:val="en-US"/>
    </w:rPr>
  </w:style>
  <w:style w:type="character" w:styleId="PageNumber">
    <w:name w:val="page number"/>
    <w:basedOn w:val="DefaultParagraphFont"/>
    <w:unhideWhenUsed/>
    <w:rsid w:val="00277FEA"/>
  </w:style>
  <w:style w:type="table" w:styleId="TableGrid">
    <w:name w:val="Table Grid"/>
    <w:basedOn w:val="TableNormal"/>
    <w:uiPriority w:val="39"/>
    <w:rsid w:val="00277FE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77FEA"/>
    <w:pPr>
      <w:spacing w:line="240" w:lineRule="auto"/>
    </w:pPr>
    <w:rPr>
      <w:rFonts w:asciiTheme="majorHAnsi" w:eastAsia="Times New Roman" w:hAnsiTheme="majorHAnsi" w:cs="Times New Roman"/>
      <w:color w:val="auto"/>
      <w:lang w:val="en-US" w:eastAsia="en-US"/>
    </w:rPr>
  </w:style>
  <w:style w:type="character" w:customStyle="1" w:styleId="FootnoteTextChar">
    <w:name w:val="Footnote Text Char"/>
    <w:basedOn w:val="DefaultParagraphFont"/>
    <w:link w:val="FootnoteText"/>
    <w:uiPriority w:val="99"/>
    <w:rsid w:val="00277FEA"/>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277FEA"/>
    <w:rPr>
      <w:vertAlign w:val="superscript"/>
    </w:rPr>
  </w:style>
  <w:style w:type="paragraph" w:styleId="Header">
    <w:name w:val="header"/>
    <w:basedOn w:val="Normal"/>
    <w:link w:val="HeaderChar"/>
    <w:uiPriority w:val="99"/>
    <w:unhideWhenUsed/>
    <w:rsid w:val="00075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2C0"/>
    <w:rPr>
      <w:rFonts w:ascii="NB Akademie Std" w:eastAsia="Arial" w:hAnsi="NB Akademie Std" w:cs="Arial"/>
      <w:bCs/>
      <w:color w:val="434343"/>
      <w:sz w:val="21"/>
      <w:szCs w:val="21"/>
      <w:lang w:val="en-GB" w:eastAsia="en-GB"/>
    </w:rPr>
  </w:style>
  <w:style w:type="character" w:styleId="CommentReference">
    <w:name w:val="annotation reference"/>
    <w:basedOn w:val="DefaultParagraphFont"/>
    <w:uiPriority w:val="99"/>
    <w:semiHidden/>
    <w:unhideWhenUsed/>
    <w:rsid w:val="00C97323"/>
    <w:rPr>
      <w:sz w:val="16"/>
      <w:szCs w:val="16"/>
    </w:rPr>
  </w:style>
  <w:style w:type="paragraph" w:styleId="CommentText">
    <w:name w:val="annotation text"/>
    <w:basedOn w:val="Normal"/>
    <w:link w:val="CommentTextChar"/>
    <w:uiPriority w:val="99"/>
    <w:semiHidden/>
    <w:unhideWhenUsed/>
    <w:rsid w:val="00C97323"/>
    <w:pPr>
      <w:spacing w:line="240" w:lineRule="auto"/>
    </w:pPr>
    <w:rPr>
      <w:sz w:val="20"/>
      <w:szCs w:val="20"/>
    </w:rPr>
  </w:style>
  <w:style w:type="character" w:customStyle="1" w:styleId="CommentTextChar">
    <w:name w:val="Comment Text Char"/>
    <w:basedOn w:val="DefaultParagraphFont"/>
    <w:link w:val="CommentText"/>
    <w:uiPriority w:val="99"/>
    <w:semiHidden/>
    <w:rsid w:val="00C97323"/>
    <w:rPr>
      <w:rFonts w:ascii="NB Akademie Std" w:eastAsia="Arial" w:hAnsi="NB Akademie Std" w:cs="Arial"/>
      <w:bCs/>
      <w:color w:val="434343"/>
      <w:sz w:val="20"/>
      <w:szCs w:val="20"/>
      <w:lang w:val="en-GB" w:eastAsia="en-GB"/>
    </w:rPr>
  </w:style>
  <w:style w:type="paragraph" w:styleId="CommentSubject">
    <w:name w:val="annotation subject"/>
    <w:basedOn w:val="CommentText"/>
    <w:next w:val="CommentText"/>
    <w:link w:val="CommentSubjectChar"/>
    <w:uiPriority w:val="99"/>
    <w:semiHidden/>
    <w:unhideWhenUsed/>
    <w:rsid w:val="00C97323"/>
    <w:rPr>
      <w:b/>
    </w:rPr>
  </w:style>
  <w:style w:type="character" w:customStyle="1" w:styleId="CommentSubjectChar">
    <w:name w:val="Comment Subject Char"/>
    <w:basedOn w:val="CommentTextChar"/>
    <w:link w:val="CommentSubject"/>
    <w:uiPriority w:val="99"/>
    <w:semiHidden/>
    <w:rsid w:val="00C97323"/>
    <w:rPr>
      <w:rFonts w:ascii="NB Akademie Std" w:eastAsia="Arial" w:hAnsi="NB Akademie Std" w:cs="Arial"/>
      <w:b/>
      <w:bCs/>
      <w:color w:val="434343"/>
      <w:sz w:val="20"/>
      <w:szCs w:val="20"/>
      <w:lang w:val="en-GB" w:eastAsia="en-GB"/>
    </w:rPr>
  </w:style>
  <w:style w:type="paragraph" w:styleId="BalloonText">
    <w:name w:val="Balloon Text"/>
    <w:basedOn w:val="Normal"/>
    <w:link w:val="BalloonTextChar"/>
    <w:uiPriority w:val="99"/>
    <w:semiHidden/>
    <w:unhideWhenUsed/>
    <w:rsid w:val="00C97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23"/>
    <w:rPr>
      <w:rFonts w:ascii="Segoe UI" w:eastAsia="Arial" w:hAnsi="Segoe UI" w:cs="Segoe UI"/>
      <w:bCs/>
      <w:color w:val="434343"/>
      <w:sz w:val="18"/>
      <w:szCs w:val="18"/>
      <w:lang w:val="en-GB" w:eastAsia="en-GB"/>
    </w:rPr>
  </w:style>
  <w:style w:type="paragraph" w:styleId="Revision">
    <w:name w:val="Revision"/>
    <w:hidden/>
    <w:uiPriority w:val="99"/>
    <w:semiHidden/>
    <w:rsid w:val="00F47069"/>
    <w:rPr>
      <w:rFonts w:ascii="NB Akademie Std" w:eastAsia="Arial" w:hAnsi="NB Akademie Std" w:cs="Arial"/>
      <w:bCs/>
      <w:color w:val="434343"/>
      <w:sz w:val="21"/>
      <w:szCs w:val="21"/>
      <w:lang w:val="en-GB" w:eastAsia="en-GB"/>
    </w:rPr>
  </w:style>
  <w:style w:type="character" w:customStyle="1" w:styleId="Hyperlink1">
    <w:name w:val="Hyperlink1"/>
    <w:basedOn w:val="DefaultParagraphFont"/>
    <w:uiPriority w:val="99"/>
    <w:unhideWhenUsed/>
    <w:rsid w:val="00490CF0"/>
    <w:rPr>
      <w:color w:val="00B7E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73500">
      <w:bodyDiv w:val="1"/>
      <w:marLeft w:val="0"/>
      <w:marRight w:val="0"/>
      <w:marTop w:val="0"/>
      <w:marBottom w:val="0"/>
      <w:divBdr>
        <w:top w:val="none" w:sz="0" w:space="0" w:color="auto"/>
        <w:left w:val="none" w:sz="0" w:space="0" w:color="auto"/>
        <w:bottom w:val="none" w:sz="0" w:space="0" w:color="auto"/>
        <w:right w:val="none" w:sz="0" w:space="0" w:color="auto"/>
      </w:divBdr>
      <w:divsChild>
        <w:div w:id="1539779250">
          <w:marLeft w:val="547"/>
          <w:marRight w:val="0"/>
          <w:marTop w:val="0"/>
          <w:marBottom w:val="0"/>
          <w:divBdr>
            <w:top w:val="none" w:sz="0" w:space="0" w:color="auto"/>
            <w:left w:val="none" w:sz="0" w:space="0" w:color="auto"/>
            <w:bottom w:val="none" w:sz="0" w:space="0" w:color="auto"/>
            <w:right w:val="none" w:sz="0" w:space="0" w:color="auto"/>
          </w:divBdr>
        </w:div>
        <w:div w:id="359479093">
          <w:marLeft w:val="763"/>
          <w:marRight w:val="0"/>
          <w:marTop w:val="0"/>
          <w:marBottom w:val="428"/>
          <w:divBdr>
            <w:top w:val="none" w:sz="0" w:space="0" w:color="auto"/>
            <w:left w:val="none" w:sz="0" w:space="0" w:color="auto"/>
            <w:bottom w:val="none" w:sz="0" w:space="0" w:color="auto"/>
            <w:right w:val="none" w:sz="0" w:space="0" w:color="auto"/>
          </w:divBdr>
        </w:div>
        <w:div w:id="1071658983">
          <w:marLeft w:val="763"/>
          <w:marRight w:val="0"/>
          <w:marTop w:val="0"/>
          <w:marBottom w:val="428"/>
          <w:divBdr>
            <w:top w:val="none" w:sz="0" w:space="0" w:color="auto"/>
            <w:left w:val="none" w:sz="0" w:space="0" w:color="auto"/>
            <w:bottom w:val="none" w:sz="0" w:space="0" w:color="auto"/>
            <w:right w:val="none" w:sz="0" w:space="0" w:color="auto"/>
          </w:divBdr>
        </w:div>
        <w:div w:id="741293379">
          <w:marLeft w:val="763"/>
          <w:marRight w:val="0"/>
          <w:marTop w:val="0"/>
          <w:marBottom w:val="428"/>
          <w:divBdr>
            <w:top w:val="none" w:sz="0" w:space="0" w:color="auto"/>
            <w:left w:val="none" w:sz="0" w:space="0" w:color="auto"/>
            <w:bottom w:val="none" w:sz="0" w:space="0" w:color="auto"/>
            <w:right w:val="none" w:sz="0" w:space="0" w:color="auto"/>
          </w:divBdr>
        </w:div>
        <w:div w:id="275646317">
          <w:marLeft w:val="763"/>
          <w:marRight w:val="0"/>
          <w:marTop w:val="0"/>
          <w:marBottom w:val="428"/>
          <w:divBdr>
            <w:top w:val="none" w:sz="0" w:space="0" w:color="auto"/>
            <w:left w:val="none" w:sz="0" w:space="0" w:color="auto"/>
            <w:bottom w:val="none" w:sz="0" w:space="0" w:color="auto"/>
            <w:right w:val="none" w:sz="0" w:space="0" w:color="auto"/>
          </w:divBdr>
        </w:div>
        <w:div w:id="1313947604">
          <w:marLeft w:val="763"/>
          <w:marRight w:val="0"/>
          <w:marTop w:val="0"/>
          <w:marBottom w:val="428"/>
          <w:divBdr>
            <w:top w:val="none" w:sz="0" w:space="0" w:color="auto"/>
            <w:left w:val="none" w:sz="0" w:space="0" w:color="auto"/>
            <w:bottom w:val="none" w:sz="0" w:space="0" w:color="auto"/>
            <w:right w:val="none" w:sz="0" w:space="0" w:color="auto"/>
          </w:divBdr>
        </w:div>
        <w:div w:id="1016034841">
          <w:marLeft w:val="763"/>
          <w:marRight w:val="0"/>
          <w:marTop w:val="0"/>
          <w:marBottom w:val="428"/>
          <w:divBdr>
            <w:top w:val="none" w:sz="0" w:space="0" w:color="auto"/>
            <w:left w:val="none" w:sz="0" w:space="0" w:color="auto"/>
            <w:bottom w:val="none" w:sz="0" w:space="0" w:color="auto"/>
            <w:right w:val="none" w:sz="0" w:space="0" w:color="auto"/>
          </w:divBdr>
        </w:div>
        <w:div w:id="252475391">
          <w:marLeft w:val="547"/>
          <w:marRight w:val="0"/>
          <w:marTop w:val="0"/>
          <w:marBottom w:val="0"/>
          <w:divBdr>
            <w:top w:val="none" w:sz="0" w:space="0" w:color="auto"/>
            <w:left w:val="none" w:sz="0" w:space="0" w:color="auto"/>
            <w:bottom w:val="none" w:sz="0" w:space="0" w:color="auto"/>
            <w:right w:val="none" w:sz="0" w:space="0" w:color="auto"/>
          </w:divBdr>
        </w:div>
        <w:div w:id="246158539">
          <w:marLeft w:val="763"/>
          <w:marRight w:val="0"/>
          <w:marTop w:val="0"/>
          <w:marBottom w:val="428"/>
          <w:divBdr>
            <w:top w:val="none" w:sz="0" w:space="0" w:color="auto"/>
            <w:left w:val="none" w:sz="0" w:space="0" w:color="auto"/>
            <w:bottom w:val="none" w:sz="0" w:space="0" w:color="auto"/>
            <w:right w:val="none" w:sz="0" w:space="0" w:color="auto"/>
          </w:divBdr>
        </w:div>
        <w:div w:id="1942689265">
          <w:marLeft w:val="763"/>
          <w:marRight w:val="0"/>
          <w:marTop w:val="0"/>
          <w:marBottom w:val="428"/>
          <w:divBdr>
            <w:top w:val="none" w:sz="0" w:space="0" w:color="auto"/>
            <w:left w:val="none" w:sz="0" w:space="0" w:color="auto"/>
            <w:bottom w:val="none" w:sz="0" w:space="0" w:color="auto"/>
            <w:right w:val="none" w:sz="0" w:space="0" w:color="auto"/>
          </w:divBdr>
        </w:div>
        <w:div w:id="67921280">
          <w:marLeft w:val="763"/>
          <w:marRight w:val="0"/>
          <w:marTop w:val="0"/>
          <w:marBottom w:val="428"/>
          <w:divBdr>
            <w:top w:val="none" w:sz="0" w:space="0" w:color="auto"/>
            <w:left w:val="none" w:sz="0" w:space="0" w:color="auto"/>
            <w:bottom w:val="none" w:sz="0" w:space="0" w:color="auto"/>
            <w:right w:val="none" w:sz="0" w:space="0" w:color="auto"/>
          </w:divBdr>
        </w:div>
        <w:div w:id="44761124">
          <w:marLeft w:val="763"/>
          <w:marRight w:val="0"/>
          <w:marTop w:val="0"/>
          <w:marBottom w:val="428"/>
          <w:divBdr>
            <w:top w:val="none" w:sz="0" w:space="0" w:color="auto"/>
            <w:left w:val="none" w:sz="0" w:space="0" w:color="auto"/>
            <w:bottom w:val="none" w:sz="0" w:space="0" w:color="auto"/>
            <w:right w:val="none" w:sz="0" w:space="0" w:color="auto"/>
          </w:divBdr>
        </w:div>
        <w:div w:id="1755931538">
          <w:marLeft w:val="763"/>
          <w:marRight w:val="0"/>
          <w:marTop w:val="0"/>
          <w:marBottom w:val="428"/>
          <w:divBdr>
            <w:top w:val="none" w:sz="0" w:space="0" w:color="auto"/>
            <w:left w:val="none" w:sz="0" w:space="0" w:color="auto"/>
            <w:bottom w:val="none" w:sz="0" w:space="0" w:color="auto"/>
            <w:right w:val="none" w:sz="0" w:space="0" w:color="auto"/>
          </w:divBdr>
        </w:div>
        <w:div w:id="1711762978">
          <w:marLeft w:val="763"/>
          <w:marRight w:val="0"/>
          <w:marTop w:val="0"/>
          <w:marBottom w:val="428"/>
          <w:divBdr>
            <w:top w:val="none" w:sz="0" w:space="0" w:color="auto"/>
            <w:left w:val="none" w:sz="0" w:space="0" w:color="auto"/>
            <w:bottom w:val="none" w:sz="0" w:space="0" w:color="auto"/>
            <w:right w:val="none" w:sz="0" w:space="0" w:color="auto"/>
          </w:divBdr>
        </w:div>
        <w:div w:id="424309684">
          <w:marLeft w:val="547"/>
          <w:marRight w:val="0"/>
          <w:marTop w:val="0"/>
          <w:marBottom w:val="0"/>
          <w:divBdr>
            <w:top w:val="none" w:sz="0" w:space="0" w:color="auto"/>
            <w:left w:val="none" w:sz="0" w:space="0" w:color="auto"/>
            <w:bottom w:val="none" w:sz="0" w:space="0" w:color="auto"/>
            <w:right w:val="none" w:sz="0" w:space="0" w:color="auto"/>
          </w:divBdr>
        </w:div>
        <w:div w:id="105588095">
          <w:marLeft w:val="763"/>
          <w:marRight w:val="0"/>
          <w:marTop w:val="0"/>
          <w:marBottom w:val="308"/>
          <w:divBdr>
            <w:top w:val="none" w:sz="0" w:space="0" w:color="auto"/>
            <w:left w:val="none" w:sz="0" w:space="0" w:color="auto"/>
            <w:bottom w:val="none" w:sz="0" w:space="0" w:color="auto"/>
            <w:right w:val="none" w:sz="0" w:space="0" w:color="auto"/>
          </w:divBdr>
        </w:div>
        <w:div w:id="1144925905">
          <w:marLeft w:val="763"/>
          <w:marRight w:val="0"/>
          <w:marTop w:val="0"/>
          <w:marBottom w:val="308"/>
          <w:divBdr>
            <w:top w:val="none" w:sz="0" w:space="0" w:color="auto"/>
            <w:left w:val="none" w:sz="0" w:space="0" w:color="auto"/>
            <w:bottom w:val="none" w:sz="0" w:space="0" w:color="auto"/>
            <w:right w:val="none" w:sz="0" w:space="0" w:color="auto"/>
          </w:divBdr>
        </w:div>
        <w:div w:id="48768649">
          <w:marLeft w:val="763"/>
          <w:marRight w:val="0"/>
          <w:marTop w:val="0"/>
          <w:marBottom w:val="308"/>
          <w:divBdr>
            <w:top w:val="none" w:sz="0" w:space="0" w:color="auto"/>
            <w:left w:val="none" w:sz="0" w:space="0" w:color="auto"/>
            <w:bottom w:val="none" w:sz="0" w:space="0" w:color="auto"/>
            <w:right w:val="none" w:sz="0" w:space="0" w:color="auto"/>
          </w:divBdr>
        </w:div>
        <w:div w:id="5056432">
          <w:marLeft w:val="763"/>
          <w:marRight w:val="0"/>
          <w:marTop w:val="0"/>
          <w:marBottom w:val="308"/>
          <w:divBdr>
            <w:top w:val="none" w:sz="0" w:space="0" w:color="auto"/>
            <w:left w:val="none" w:sz="0" w:space="0" w:color="auto"/>
            <w:bottom w:val="none" w:sz="0" w:space="0" w:color="auto"/>
            <w:right w:val="none" w:sz="0" w:space="0" w:color="auto"/>
          </w:divBdr>
        </w:div>
        <w:div w:id="678196466">
          <w:marLeft w:val="763"/>
          <w:marRight w:val="0"/>
          <w:marTop w:val="0"/>
          <w:marBottom w:val="308"/>
          <w:divBdr>
            <w:top w:val="none" w:sz="0" w:space="0" w:color="auto"/>
            <w:left w:val="none" w:sz="0" w:space="0" w:color="auto"/>
            <w:bottom w:val="none" w:sz="0" w:space="0" w:color="auto"/>
            <w:right w:val="none" w:sz="0" w:space="0" w:color="auto"/>
          </w:divBdr>
        </w:div>
        <w:div w:id="935745640">
          <w:marLeft w:val="763"/>
          <w:marRight w:val="0"/>
          <w:marTop w:val="0"/>
          <w:marBottom w:val="3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forwomen.uts.edu.au/toolkit/" TargetMode="External"/><Relationship Id="rId13" Type="http://schemas.openxmlformats.org/officeDocument/2006/relationships/hyperlink" Target="https://www.waterforwomenfund.org/en/index.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waterforwomen.uts.edu.au/toolk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terforwomen.uts.edu.au/toolkit/"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waterforwomenfund.org/en/index.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aterforwomen.uts.edu.au/toolkit/" TargetMode="External"/><Relationship Id="rId14" Type="http://schemas.openxmlformats.org/officeDocument/2006/relationships/hyperlink" Target="https://iwda.org.au/resource/do-no-harm-toolkit/" TargetMode="External"/><Relationship Id="rId22" Type="http://schemas.openxmlformats.org/officeDocument/2006/relationships/fontTable" Target="fontTable.xml"/></Relationships>
</file>

<file path=word/theme/theme1.xml><?xml version="1.0" encoding="utf-8"?>
<a:theme xmlns:a="http://schemas.openxmlformats.org/drawingml/2006/main" name="Gender MEL">
  <a:themeElements>
    <a:clrScheme name="Custom 1">
      <a:dk1>
        <a:srgbClr val="313131"/>
      </a:dk1>
      <a:lt1>
        <a:srgbClr val="FFFFFF"/>
      </a:lt1>
      <a:dk2>
        <a:srgbClr val="313131"/>
      </a:dk2>
      <a:lt2>
        <a:srgbClr val="B2B2B2"/>
      </a:lt2>
      <a:accent1>
        <a:srgbClr val="1A58A8"/>
      </a:accent1>
      <a:accent2>
        <a:srgbClr val="349D9C"/>
      </a:accent2>
      <a:accent3>
        <a:srgbClr val="319DD3"/>
      </a:accent3>
      <a:accent4>
        <a:srgbClr val="0D4BEB"/>
      </a:accent4>
      <a:accent5>
        <a:srgbClr val="D63E18"/>
      </a:accent5>
      <a:accent6>
        <a:srgbClr val="FBD44F"/>
      </a:accent6>
      <a:hlink>
        <a:srgbClr val="00B7E0"/>
      </a:hlink>
      <a:folHlink>
        <a:srgbClr val="00B7E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MacArthur</dc:creator>
  <cp:keywords/>
  <dc:description/>
  <cp:lastModifiedBy>Jess MacArthur</cp:lastModifiedBy>
  <cp:revision>5</cp:revision>
  <cp:lastPrinted>2021-03-11T16:58:00Z</cp:lastPrinted>
  <dcterms:created xsi:type="dcterms:W3CDTF">2021-06-02T17:28:00Z</dcterms:created>
  <dcterms:modified xsi:type="dcterms:W3CDTF">2021-08-12T10:14:00Z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2021-02-19T10:55:50Z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e3efaa71-40c9-40e8-a60a-af3766bacd4a</vt:lpwstr>
  </property>
  <property fmtid="{D5CDD505-2E9C-101B-9397-08002B2CF9AE}" pid="8" name="MSIP_Label_51a6c3db-1667-4f49-995a-8b9973972958_ContentBits">
    <vt:lpwstr>0</vt:lpwstr>
  </property>
</Properties>
</file>